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pPr>
      <w:r>
        <w:rPr/>
        <w:drawing>
          <wp:anchor behindDoc="0" distT="0" distB="0" distL="0" distR="0" simplePos="0" locked="0" layoutInCell="0" allowOverlap="1" relativeHeight="2">
            <wp:simplePos x="0" y="0"/>
            <wp:positionH relativeFrom="column">
              <wp:posOffset>1731645</wp:posOffset>
            </wp:positionH>
            <wp:positionV relativeFrom="paragraph">
              <wp:posOffset>-254000</wp:posOffset>
            </wp:positionV>
            <wp:extent cx="2449830" cy="901065"/>
            <wp:effectExtent l="0" t="0" r="0" b="0"/>
            <wp:wrapSquare wrapText="largest"/>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2"/>
                    <a:stretch>
                      <a:fillRect/>
                    </a:stretch>
                  </pic:blipFill>
                  <pic:spPr bwMode="auto">
                    <a:xfrm>
                      <a:off x="0" y="0"/>
                      <a:ext cx="2449830" cy="901065"/>
                    </a:xfrm>
                    <a:prstGeom prst="rect">
                      <a:avLst/>
                    </a:prstGeom>
                  </pic:spPr>
                </pic:pic>
              </a:graphicData>
            </a:graphic>
          </wp:anchor>
        </w:drawing>
      </w:r>
    </w:p>
    <w:p>
      <w:pPr>
        <w:pStyle w:val="Normal"/>
        <w:bidi w:val="0"/>
        <w:jc w:val="start"/>
        <w:rPr/>
      </w:pPr>
      <w:r>
        <w:rPr/>
      </w:r>
    </w:p>
    <w:p>
      <w:pPr>
        <w:pStyle w:val="Normal"/>
        <w:bidi w:val="0"/>
        <w:jc w:val="start"/>
        <w:rPr/>
      </w:pPr>
      <w:r>
        <w:rPr/>
      </w:r>
    </w:p>
    <w:p>
      <w:pPr>
        <w:pStyle w:val="Normal"/>
        <w:bidi w:val="0"/>
        <w:jc w:val="start"/>
        <w:rPr/>
      </w:pPr>
      <w:r>
        <w:rPr/>
      </w:r>
    </w:p>
    <w:p>
      <w:pPr>
        <w:pStyle w:val="Normal"/>
        <w:bidi w:val="0"/>
        <w:jc w:val="start"/>
        <w:rPr/>
      </w:pPr>
      <w:r>
        <w:rPr/>
      </w:r>
    </w:p>
    <w:p>
      <w:pPr>
        <w:pStyle w:val="Normal"/>
        <w:bidi w:val="0"/>
        <w:jc w:val="start"/>
        <w:rPr>
          <w:color w:val="4E102D"/>
        </w:rPr>
      </w:pPr>
      <w:r>
        <w:rPr>
          <w:color w:val="4E102D"/>
        </w:rPr>
      </w:r>
    </w:p>
    <w:p>
      <w:pPr>
        <w:pStyle w:val="Normal"/>
        <w:bidi w:val="0"/>
        <w:jc w:val="center"/>
        <w:rPr>
          <w:rFonts w:ascii="Adelle Sans EXT" w:hAnsi="Adelle Sans EXT"/>
          <w:b/>
          <w:bCs/>
          <w:color w:val="4E102D"/>
          <w:lang w:val="en-GB"/>
        </w:rPr>
      </w:pPr>
      <w:r>
        <w:rPr>
          <w:rFonts w:ascii="Adelle Sans EXT" w:hAnsi="Adelle Sans EXT"/>
          <w:b/>
          <w:bCs/>
          <w:color w:val="4E102D"/>
          <w:lang w:val="en-GB"/>
        </w:rPr>
        <w:t xml:space="preserve">Terms of Reference : Researcher - Report on civic space and rule of law backsliding in Italy (Consultancy contract) </w:t>
      </w:r>
    </w:p>
    <w:p>
      <w:pPr>
        <w:pStyle w:val="Normal"/>
        <w:bidi w:val="0"/>
        <w:jc w:val="center"/>
        <w:rPr>
          <w:rFonts w:ascii="Adelle Sans EXT" w:hAnsi="Adelle Sans EXT"/>
          <w:lang w:val="en-GB"/>
        </w:rPr>
      </w:pPr>
      <w:r>
        <w:rPr>
          <w:rFonts w:ascii="Adelle Sans EXT" w:hAnsi="Adelle Sans EXT"/>
          <w:lang w:val="en-GB"/>
        </w:rPr>
      </w:r>
    </w:p>
    <w:p>
      <w:pPr>
        <w:pStyle w:val="Normal"/>
        <w:bidi w:val="0"/>
        <w:jc w:val="start"/>
        <w:rPr>
          <w:rFonts w:ascii="Adelle Sans EXT" w:hAnsi="Adelle Sans EXT"/>
        </w:rPr>
      </w:pPr>
      <w:r>
        <w:rPr>
          <w:rFonts w:ascii="Adelle Sans EXT" w:hAnsi="Adelle Sans EXT"/>
        </w:rPr>
      </w:r>
    </w:p>
    <w:p>
      <w:pPr>
        <w:pStyle w:val="Normal"/>
        <w:bidi w:val="0"/>
        <w:jc w:val="start"/>
        <w:rPr>
          <w:rFonts w:ascii="Adelle Sans EXT" w:hAnsi="Adelle Sans EXT"/>
          <w:lang w:val="en-GB"/>
        </w:rPr>
      </w:pPr>
      <w:r>
        <w:rPr>
          <w:rFonts w:ascii="Adelle Sans EXT" w:hAnsi="Adelle Sans EXT"/>
          <w:b/>
          <w:bCs/>
          <w:lang w:val="en-GB"/>
        </w:rPr>
        <w:t>Duration</w:t>
      </w:r>
      <w:r>
        <w:rPr>
          <w:rFonts w:ascii="Adelle Sans EXT" w:hAnsi="Adelle Sans EXT"/>
          <w:lang w:val="en-GB"/>
        </w:rPr>
        <w:t xml:space="preserve"> : </w:t>
      </w:r>
      <w:r>
        <w:rPr>
          <w:rFonts w:ascii="Adelle Sans EXT" w:hAnsi="Adelle Sans EXT"/>
          <w:lang w:val="en-GB"/>
        </w:rPr>
        <w:t>November</w:t>
      </w:r>
      <w:r>
        <w:rPr>
          <w:rFonts w:ascii="Adelle Sans EXT" w:hAnsi="Adelle Sans EXT"/>
          <w:lang w:val="en-GB"/>
        </w:rPr>
        <w:t xml:space="preserve"> 2026 - </w:t>
      </w:r>
      <w:r>
        <w:rPr>
          <w:rFonts w:ascii="Adelle Sans EXT" w:hAnsi="Adelle Sans EXT"/>
          <w:lang w:val="en-GB"/>
        </w:rPr>
        <w:t>August</w:t>
      </w:r>
      <w:r>
        <w:rPr>
          <w:rFonts w:ascii="Adelle Sans EXT" w:hAnsi="Adelle Sans EXT"/>
          <w:lang w:val="en-GB"/>
        </w:rPr>
        <w:t xml:space="preserve"> 2027 (10 months)</w:t>
      </w:r>
    </w:p>
    <w:p>
      <w:pPr>
        <w:pStyle w:val="Normal"/>
        <w:bidi w:val="0"/>
        <w:jc w:val="start"/>
        <w:rPr>
          <w:rFonts w:ascii="Adelle Sans EXT" w:hAnsi="Adelle Sans EXT"/>
          <w:lang w:val="en-GB"/>
        </w:rPr>
      </w:pPr>
      <w:r>
        <w:rPr>
          <w:rFonts w:ascii="Adelle Sans EXT" w:hAnsi="Adelle Sans EXT"/>
          <w:b/>
          <w:bCs/>
          <w:lang w:val="en-GB"/>
        </w:rPr>
        <w:t>Location</w:t>
      </w:r>
      <w:r>
        <w:rPr>
          <w:rFonts w:ascii="Adelle Sans EXT" w:hAnsi="Adelle Sans EXT"/>
          <w:lang w:val="en-GB"/>
        </w:rPr>
        <w:t> : FIDH Brussels, FIDH Paris or remote from Italy</w:t>
      </w:r>
    </w:p>
    <w:p>
      <w:pPr>
        <w:pStyle w:val="Normal"/>
        <w:bidi w:val="0"/>
        <w:jc w:val="start"/>
        <w:rPr>
          <w:rFonts w:ascii="Adelle Sans EXT" w:hAnsi="Adelle Sans EXT"/>
          <w:lang w:val="en-GB"/>
        </w:rPr>
      </w:pPr>
      <w:r>
        <w:rPr>
          <w:rFonts w:ascii="Adelle Sans EXT" w:hAnsi="Adelle Sans EXT"/>
          <w:b/>
          <w:bCs/>
          <w:lang w:val="en-GB"/>
        </w:rPr>
        <w:t>Commitment</w:t>
      </w:r>
      <w:r>
        <w:rPr>
          <w:rFonts w:ascii="Adelle Sans EXT" w:hAnsi="Adelle Sans EXT"/>
          <w:lang w:val="en-GB"/>
        </w:rPr>
        <w:t>: Approximately 10 months (desk research, fact-finding mission, report drafting, communication and advocacy)</w:t>
      </w:r>
    </w:p>
    <w:p>
      <w:pPr>
        <w:pStyle w:val="Normal"/>
        <w:bidi w:val="0"/>
        <w:jc w:val="start"/>
        <w:rPr>
          <w:rFonts w:ascii="Adelle Sans EXT" w:hAnsi="Adelle Sans EXT"/>
          <w:lang w:val="en-GB"/>
        </w:rPr>
      </w:pPr>
      <w:r>
        <w:rPr>
          <w:rFonts w:ascii="Adelle Sans EXT" w:hAnsi="Adelle Sans EXT"/>
          <w:b/>
          <w:bCs/>
          <w:lang w:val="en-GB"/>
        </w:rPr>
        <w:t>Reporting to</w:t>
      </w:r>
      <w:r>
        <w:rPr>
          <w:rFonts w:ascii="Adelle Sans EXT" w:hAnsi="Adelle Sans EXT"/>
          <w:lang w:val="en-GB"/>
        </w:rPr>
        <w:t>: Western Europe Director</w:t>
      </w:r>
    </w:p>
    <w:p>
      <w:pPr>
        <w:pStyle w:val="Normal"/>
        <w:bidi w:val="0"/>
        <w:jc w:val="start"/>
        <w:rPr>
          <w:rFonts w:ascii="Adelle Sans EXT" w:hAnsi="Adelle Sans EXT"/>
          <w:lang w:val="en-GB"/>
        </w:rPr>
      </w:pPr>
      <w:r>
        <w:rPr>
          <w:rFonts w:ascii="Adelle Sans EXT" w:hAnsi="Adelle Sans EXT"/>
          <w:b/>
          <w:bCs/>
          <w:lang w:val="en-GB"/>
        </w:rPr>
        <w:t>Application deadli</w:t>
      </w:r>
      <w:r>
        <w:rPr>
          <w:rFonts w:ascii="Adelle Sans EXT" w:hAnsi="Adelle Sans EXT"/>
          <w:b/>
          <w:bCs/>
          <w:shd w:fill="auto" w:val="clear"/>
          <w:lang w:val="en-GB"/>
        </w:rPr>
        <w:t>ne:</w:t>
      </w:r>
      <w:r>
        <w:rPr>
          <w:rFonts w:ascii="Adelle Sans EXT" w:hAnsi="Adelle Sans EXT"/>
          <w:shd w:fill="auto" w:val="clear"/>
          <w:lang w:val="en-GB"/>
        </w:rPr>
        <w:t xml:space="preserve"> </w:t>
      </w:r>
      <w:r>
        <w:rPr>
          <w:rFonts w:eastAsia="Noto Serif CJK SC" w:cs="Noto Sans Devanagari" w:ascii="Adelle Sans EXT" w:hAnsi="Adelle Sans EXT"/>
          <w:color w:val="000000"/>
          <w:shd w:fill="FFFF00" w:val="clear"/>
          <w:lang w:val="en-GB" w:eastAsia="zh-CN" w:bidi="hi-IN"/>
        </w:rPr>
        <w:t>11 October</w:t>
      </w:r>
      <w:r>
        <w:rPr>
          <w:rFonts w:eastAsia="Noto Serif CJK SC" w:cs="Noto Sans Devanagari" w:ascii="Adelle Sans EXT" w:hAnsi="Adelle Sans EXT"/>
          <w:color w:val="000000"/>
          <w:shd w:fill="FFFF00" w:val="clear"/>
          <w:lang w:val="en-GB" w:eastAsia="zh-CN" w:bidi="hi-IN"/>
        </w:rPr>
        <w:t xml:space="preserve"> 2026</w:t>
      </w:r>
    </w:p>
    <w:p>
      <w:pPr>
        <w:pStyle w:val="Normal"/>
        <w:bidi w:val="0"/>
        <w:jc w:val="start"/>
        <w:rPr>
          <w:rFonts w:ascii="Adelle Sans EXT" w:hAnsi="Adelle Sans EXT"/>
          <w:lang w:val="en-GB"/>
        </w:rPr>
      </w:pPr>
      <w:r>
        <w:rPr>
          <w:rFonts w:ascii="Adelle Sans EXT" w:hAnsi="Adelle Sans EXT"/>
          <w:lang w:val="en-GB"/>
        </w:rPr>
      </w:r>
    </w:p>
    <w:p>
      <w:pPr>
        <w:pStyle w:val="Normal"/>
        <w:bidi w:val="0"/>
        <w:jc w:val="start"/>
        <w:rPr>
          <w:rFonts w:ascii="Adelle Sans EXT" w:hAnsi="Adelle Sans EXT"/>
          <w:b/>
          <w:bCs/>
          <w:lang w:val="en-GB"/>
        </w:rPr>
      </w:pPr>
      <w:r>
        <w:rPr>
          <w:rFonts w:ascii="Adelle Sans EXT" w:hAnsi="Adelle Sans EXT"/>
          <w:b/>
          <w:bCs/>
          <w:lang w:val="en-GB"/>
        </w:rPr>
        <w:t xml:space="preserve">About FIDH: </w:t>
      </w:r>
    </w:p>
    <w:p>
      <w:pPr>
        <w:pStyle w:val="Normal"/>
        <w:bidi w:val="0"/>
        <w:jc w:val="both"/>
        <w:rPr>
          <w:rFonts w:ascii="Adelle Sans EXT" w:hAnsi="Adelle Sans EXT"/>
          <w:b w:val="false"/>
          <w:bCs w:val="false"/>
          <w:lang w:val="en-GB"/>
        </w:rPr>
      </w:pPr>
      <w:r>
        <w:rPr>
          <w:rFonts w:ascii="Adelle Sans EXT" w:hAnsi="Adelle Sans EXT"/>
          <w:b w:val="false"/>
          <w:bCs w:val="false"/>
          <w:lang w:val="en-GB"/>
        </w:rPr>
        <w:t>The International Federation for Human Rights (FIDH) unites nearly 200 national civil society organisations spanning over 115 countries, all dedicated to the promotion and protection of human rights. Together, we protect human rights defenders and victims of grave violations, empowering them to take decisive action. We document international crimes, denounce violations, hold perpetrators to account, and advocate for civil, political, economic, social, environmental and cultural rights with key decision-makers, businesses and the public.</w:t>
      </w:r>
    </w:p>
    <w:p>
      <w:pPr>
        <w:pStyle w:val="Normal"/>
        <w:bidi w:val="0"/>
        <w:jc w:val="both"/>
        <w:rPr>
          <w:rFonts w:ascii="Adelle Sans EXT" w:hAnsi="Adelle Sans EXT"/>
          <w:b w:val="false"/>
          <w:bCs w:val="false"/>
          <w:lang w:val="en-GB"/>
        </w:rPr>
      </w:pPr>
      <w:r>
        <w:rPr>
          <w:rFonts w:ascii="Adelle Sans EXT" w:hAnsi="Adelle Sans EXT"/>
          <w:b w:val="false"/>
          <w:bCs w:val="false"/>
          <w:lang w:val="en-GB"/>
        </w:rPr>
      </w:r>
    </w:p>
    <w:p>
      <w:pPr>
        <w:pStyle w:val="Normal"/>
        <w:bidi w:val="0"/>
        <w:jc w:val="both"/>
        <w:rPr>
          <w:rFonts w:ascii="Adelle Sans EXT" w:hAnsi="Adelle Sans EXT"/>
          <w:b w:val="false"/>
          <w:bCs w:val="false"/>
          <w:lang w:val="en-GB"/>
        </w:rPr>
      </w:pPr>
      <w:r>
        <w:rPr>
          <w:rFonts w:ascii="Adelle Sans EXT" w:hAnsi="Adelle Sans EXT"/>
          <w:b w:val="false"/>
          <w:bCs w:val="false"/>
          <w:lang w:val="en-GB"/>
        </w:rPr>
        <w:t xml:space="preserve">Founded in 1922, FIDH is the first network to uphold and promote the universality of human rights. Through our longstanding commitment, we remain a steadfast advocate for human rights on the global stage, embodying the principles of justice, accountability and the inherent dignity of all individuals. </w:t>
      </w:r>
    </w:p>
    <w:p>
      <w:pPr>
        <w:pStyle w:val="Normal"/>
        <w:bidi w:val="0"/>
        <w:jc w:val="start"/>
        <w:rPr>
          <w:b/>
          <w:bCs/>
        </w:rPr>
      </w:pPr>
      <w:r>
        <w:rPr>
          <w:b/>
          <w:bCs/>
        </w:rPr>
      </w:r>
    </w:p>
    <w:p>
      <w:pPr>
        <w:pStyle w:val="Normal"/>
        <w:bidi w:val="0"/>
        <w:jc w:val="start"/>
        <w:rPr>
          <w:rFonts w:ascii="Adelle Sans EXT" w:hAnsi="Adelle Sans EXT"/>
          <w:lang w:val="en-GB"/>
        </w:rPr>
      </w:pPr>
      <w:r>
        <w:rPr>
          <w:rFonts w:ascii="Adelle Sans EXT" w:hAnsi="Adelle Sans EXT"/>
          <w:b/>
          <w:bCs/>
          <w:lang w:val="en-GB"/>
        </w:rPr>
        <w:t>Background:</w:t>
      </w:r>
      <w:r>
        <w:rPr>
          <w:rFonts w:ascii="Adelle Sans EXT" w:hAnsi="Adelle Sans EXT"/>
          <w:lang w:val="en-GB"/>
        </w:rPr>
        <w:t xml:space="preserve"> </w:t>
      </w:r>
    </w:p>
    <w:p>
      <w:pPr>
        <w:pStyle w:val="Normal"/>
        <w:bidi w:val="0"/>
        <w:jc w:val="both"/>
        <w:rPr>
          <w:rFonts w:ascii="Adelle Sans EXT" w:hAnsi="Adelle Sans EXT"/>
          <w:lang w:val="en-GB"/>
        </w:rPr>
      </w:pPr>
      <w:r>
        <w:rPr>
          <w:rFonts w:ascii="Adelle Sans EXT" w:hAnsi="Adelle Sans EXT"/>
          <w:lang w:val="en-GB"/>
        </w:rPr>
        <w:t xml:space="preserve">As part of its objective to advance human rights for all, FIDH is committed to protecting and empowering human rights defenders by fostering an enabling environment for civil society worldwide. Through the </w:t>
      </w:r>
      <w:r>
        <w:rPr>
          <w:rFonts w:ascii="Adelle Sans EXT" w:hAnsi="Adelle Sans EXT"/>
          <w:b/>
          <w:bCs/>
          <w:lang w:val="en-GB"/>
        </w:rPr>
        <w:t xml:space="preserve">Observatory for the protection of human rights defenders </w:t>
      </w:r>
      <w:r>
        <w:rPr>
          <w:rFonts w:ascii="Adelle Sans EXT" w:hAnsi="Adelle Sans EXT"/>
          <w:lang w:val="en-GB"/>
        </w:rPr>
        <w:t xml:space="preserve">(a partnership between FIDH and the World organisation against torture), FIDH documents civic space restrictions and alerts about their impact on democratic backsliding. After a </w:t>
      </w:r>
      <w:hyperlink r:id="rId3">
        <w:r>
          <w:rPr>
            <w:rStyle w:val="Hyperlink"/>
            <w:rFonts w:ascii="Adelle Sans EXT" w:hAnsi="Adelle Sans EXT"/>
            <w:lang w:val="en-GB"/>
          </w:rPr>
          <w:t>pilot investigation</w:t>
        </w:r>
      </w:hyperlink>
      <w:r>
        <w:rPr>
          <w:rFonts w:ascii="Adelle Sans EXT" w:hAnsi="Adelle Sans EXT"/>
          <w:lang w:val="en-GB"/>
        </w:rPr>
        <w:t xml:space="preserve"> on restrictions to freedom of association and peaceful assembly in France, FIDH’s Western Europe Desk intends to carry-out a research on the situation in Italy, leading up to the publication of a dedicated country report and follow-up advocacy towards national authorities and international institutions. </w:t>
      </w:r>
    </w:p>
    <w:p>
      <w:pPr>
        <w:pStyle w:val="Normal"/>
        <w:bidi w:val="0"/>
        <w:jc w:val="both"/>
        <w:rPr>
          <w:rFonts w:ascii="Adelle Sans EXT" w:hAnsi="Adelle Sans EXT"/>
          <w:lang w:val="en-GB"/>
        </w:rPr>
      </w:pPr>
      <w:r>
        <w:rPr/>
      </w:r>
    </w:p>
    <w:p>
      <w:pPr>
        <w:pStyle w:val="Normal"/>
        <w:bidi w:val="0"/>
        <w:jc w:val="both"/>
        <w:rPr>
          <w:rFonts w:ascii="Adelle Sans EXT" w:hAnsi="Adelle Sans EXT"/>
          <w:lang w:val="en-GB"/>
        </w:rPr>
      </w:pPr>
      <w:r>
        <w:rPr>
          <w:rFonts w:ascii="Adelle Sans EXT" w:hAnsi="Adelle Sans EXT"/>
          <w:lang w:val="en-GB"/>
        </w:rPr>
        <w:t xml:space="preserve">This work will be part of the </w:t>
      </w:r>
      <w:r>
        <w:rPr>
          <w:rFonts w:ascii="Adelle Sans EXT" w:hAnsi="Adelle Sans EXT"/>
          <w:b/>
          <w:bCs/>
          <w:lang w:val="en-GB"/>
        </w:rPr>
        <w:t>PROTECT-EU</w:t>
      </w:r>
      <w:r>
        <w:rPr>
          <w:rFonts w:ascii="Adelle Sans EXT" w:hAnsi="Adelle Sans EXT"/>
          <w:lang w:val="en-GB"/>
        </w:rPr>
        <w:t xml:space="preserve"> project, for which a consortium of seven civil society organisations – including FIDH – obtained funding from the European Commission’s Citizens, Equality, Rights and Values (CERV) programme for an initial period of two years (July 2026 - June 2028). </w:t>
      </w:r>
    </w:p>
    <w:p>
      <w:pPr>
        <w:pStyle w:val="Normal"/>
        <w:bidi w:val="0"/>
        <w:jc w:val="both"/>
        <w:rPr>
          <w:rFonts w:ascii="Adelle Sans EXT" w:hAnsi="Adelle Sans EXT"/>
          <w:lang w:val="en-GB"/>
        </w:rPr>
      </w:pPr>
      <w:r>
        <w:rPr>
          <w:rFonts w:ascii="Adelle Sans EXT" w:hAnsi="Adelle Sans EXT"/>
          <w:lang w:val="en-GB"/>
        </w:rPr>
      </w:r>
    </w:p>
    <w:p>
      <w:pPr>
        <w:pStyle w:val="Normal"/>
        <w:bidi w:val="0"/>
        <w:jc w:val="both"/>
        <w:rPr>
          <w:rFonts w:ascii="Adelle Sans EXT" w:hAnsi="Adelle Sans EXT"/>
          <w:lang w:val="en-GB"/>
        </w:rPr>
      </w:pPr>
      <w:r>
        <w:rPr>
          <w:rFonts w:ascii="Adelle Sans EXT" w:hAnsi="Adelle Sans EXT"/>
          <w:lang w:val="en-GB"/>
        </w:rPr>
        <w:t>To implement this research, FIDH is looking for an experienced consultant, fluent in both English and Italian, with experience in international human rights law and familiar with the local context and the challenges faced by civil society in Italy. The consultant is expected to effectively liaise between FIDH and local civil society actors, lead on the organisation of the fact-finding mission, conduct monitoring and documentation work and support national and international advocacy in the framework of PROTECT-EU.</w:t>
      </w:r>
    </w:p>
    <w:p>
      <w:pPr>
        <w:pStyle w:val="Normal"/>
        <w:bidi w:val="0"/>
        <w:jc w:val="both"/>
        <w:rPr>
          <w:rFonts w:ascii="Adelle Sans EXT" w:hAnsi="Adelle Sans EXT"/>
          <w:lang w:val="en-GB"/>
        </w:rPr>
      </w:pPr>
      <w:r>
        <w:rPr>
          <w:rFonts w:ascii="Adelle Sans EXT" w:hAnsi="Adelle Sans EXT"/>
          <w:lang w:val="en-GB"/>
        </w:rPr>
      </w:r>
    </w:p>
    <w:p>
      <w:pPr>
        <w:pStyle w:val="Normal"/>
        <w:bidi w:val="0"/>
        <w:jc w:val="both"/>
        <w:rPr>
          <w:rFonts w:ascii="Adelle Sans EXT" w:hAnsi="Adelle Sans EXT"/>
          <w:lang w:val="en-GB"/>
        </w:rPr>
      </w:pPr>
      <w:r>
        <w:rPr>
          <w:rFonts w:ascii="Adelle Sans EXT" w:hAnsi="Adelle Sans EXT"/>
          <w:b/>
          <w:bCs/>
          <w:lang w:val="en-GB"/>
        </w:rPr>
        <w:t>Deliverables</w:t>
      </w:r>
      <w:r>
        <w:rPr>
          <w:rFonts w:ascii="Adelle Sans EXT" w:hAnsi="Adelle Sans EXT"/>
          <w:lang w:val="en-GB"/>
        </w:rPr>
        <w:t xml:space="preserve">: </w:t>
      </w:r>
    </w:p>
    <w:p>
      <w:pPr>
        <w:pStyle w:val="Normal"/>
        <w:bidi w:val="0"/>
        <w:jc w:val="both"/>
        <w:rPr>
          <w:rFonts w:ascii="Adelle Sans EXT" w:hAnsi="Adelle Sans EXT"/>
          <w:b/>
          <w:bCs/>
          <w:i w:val="false"/>
          <w:i w:val="false"/>
          <w:iCs w:val="false"/>
          <w:lang w:val="en-GB"/>
        </w:rPr>
      </w:pPr>
      <w:r>
        <w:rPr>
          <w:rFonts w:ascii="Adelle Sans EXT" w:hAnsi="Adelle Sans EXT"/>
          <w:b/>
          <w:bCs/>
          <w:i w:val="false"/>
          <w:iCs w:val="false"/>
          <w:lang w:val="en-GB"/>
        </w:rPr>
        <w:t>Monitoring &amp; Documentation</w:t>
      </w:r>
    </w:p>
    <w:p>
      <w:pPr>
        <w:pStyle w:val="Normal"/>
        <w:bidi w:val="0"/>
        <w:jc w:val="both"/>
        <w:rPr>
          <w:rFonts w:ascii="Adelle Sans EXT" w:hAnsi="Adelle Sans EXT"/>
          <w:lang w:val="en-GB"/>
        </w:rPr>
      </w:pPr>
      <w:r>
        <w:rPr>
          <w:rFonts w:ascii="Adelle Sans EXT" w:hAnsi="Adelle Sans EXT"/>
          <w:lang w:val="en-GB"/>
        </w:rPr>
        <w:t xml:space="preserve">The consultant will be in charge of organising a fact-finding mission and producing a report on shrinking civic space and rule of law backsliding in Italy, under the supervision of the Western Europe Director. </w:t>
      </w:r>
    </w:p>
    <w:p>
      <w:pPr>
        <w:pStyle w:val="Normal"/>
        <w:bidi w:val="0"/>
        <w:jc w:val="both"/>
        <w:rPr>
          <w:rFonts w:ascii="Adelle Sans EXT" w:hAnsi="Adelle Sans EXT"/>
          <w:lang w:val="en-GB"/>
        </w:rPr>
      </w:pPr>
      <w:r>
        <w:rPr>
          <w:rFonts w:ascii="Adelle Sans EXT" w:hAnsi="Adelle Sans EXT"/>
          <w:lang w:val="en-GB"/>
        </w:rPr>
      </w:r>
    </w:p>
    <w:p>
      <w:pPr>
        <w:pStyle w:val="Normal"/>
        <w:bidi w:val="0"/>
        <w:jc w:val="both"/>
        <w:rPr>
          <w:rFonts w:ascii="Adelle Sans EXT" w:hAnsi="Adelle Sans EXT"/>
          <w:lang w:val="en-GB"/>
        </w:rPr>
      </w:pPr>
      <w:r>
        <w:rPr>
          <w:rFonts w:ascii="Adelle Sans EXT" w:hAnsi="Adelle Sans EXT"/>
          <w:lang w:val="en-GB"/>
        </w:rPr>
        <w:t xml:space="preserve">The international fact-finding mission and report will be based on both documentary research and fieldwork. The report should provide an overview of the key trends, challenges, threats and violations faced by human rights defenders and civil society organisations in Italy, with a focus on restrictions to freedom of association and peaceful assembly. </w:t>
      </w:r>
    </w:p>
    <w:p>
      <w:pPr>
        <w:pStyle w:val="Normal"/>
        <w:numPr>
          <w:ilvl w:val="0"/>
          <w:numId w:val="1"/>
        </w:numPr>
        <w:bidi w:val="0"/>
        <w:jc w:val="both"/>
        <w:rPr>
          <w:rFonts w:ascii="Adelle Sans EXT" w:hAnsi="Adelle Sans EXT"/>
          <w:lang w:val="en-GB"/>
        </w:rPr>
      </w:pPr>
      <w:r>
        <w:rPr>
          <w:rFonts w:ascii="Adelle Sans EXT" w:hAnsi="Adelle Sans EXT"/>
          <w:lang w:val="en-GB"/>
        </w:rPr>
        <w:t>prepare Terms of Reference for the fact-finding mission and report outlining the research objectives, scope, methodological approach and workplan</w:t>
      </w:r>
    </w:p>
    <w:p>
      <w:pPr>
        <w:pStyle w:val="Normal"/>
        <w:numPr>
          <w:ilvl w:val="0"/>
          <w:numId w:val="1"/>
        </w:numPr>
        <w:bidi w:val="0"/>
        <w:jc w:val="both"/>
        <w:rPr>
          <w:rFonts w:ascii="Adelle Sans EXT" w:hAnsi="Adelle Sans EXT"/>
          <w:lang w:val="en-GB"/>
        </w:rPr>
      </w:pPr>
      <w:r>
        <w:rPr>
          <w:rFonts w:ascii="Adelle Sans EXT" w:hAnsi="Adelle Sans EXT"/>
          <w:lang w:val="en-GB"/>
        </w:rPr>
        <w:t>lead the preparation of the fact-finding mission in collaboration with FIDH’s member organisations in Italy: identification of key stakeholders (ensuring balanced representation across genders, regions, area of work, etc.), agenda, logistics, list of questions for the semi-structured interview according to FIDH’s previous methodology, etc.</w:t>
      </w:r>
    </w:p>
    <w:p>
      <w:pPr>
        <w:pStyle w:val="Normal"/>
        <w:numPr>
          <w:ilvl w:val="0"/>
          <w:numId w:val="1"/>
        </w:numPr>
        <w:bidi w:val="0"/>
        <w:jc w:val="both"/>
        <w:rPr>
          <w:rFonts w:ascii="Adelle Sans EXT" w:hAnsi="Adelle Sans EXT"/>
          <w:lang w:val="en-GB"/>
        </w:rPr>
      </w:pPr>
      <w:r>
        <w:rPr>
          <w:rFonts w:ascii="Adelle Sans EXT" w:hAnsi="Adelle Sans EXT"/>
          <w:lang w:val="en-GB"/>
        </w:rPr>
        <w:t>ensure all research processes are safe, secure, ethical, trauma-informed and culturally sensitive</w:t>
      </w:r>
    </w:p>
    <w:p>
      <w:pPr>
        <w:pStyle w:val="Normal"/>
        <w:numPr>
          <w:ilvl w:val="0"/>
          <w:numId w:val="1"/>
        </w:numPr>
        <w:bidi w:val="0"/>
        <w:jc w:val="both"/>
        <w:rPr>
          <w:rFonts w:ascii="Adelle Sans EXT" w:hAnsi="Adelle Sans EXT"/>
          <w:lang w:val="en-GB"/>
        </w:rPr>
      </w:pPr>
      <w:r>
        <w:rPr>
          <w:rFonts w:ascii="Adelle Sans EXT" w:hAnsi="Adelle Sans EXT"/>
          <w:lang w:val="en-GB"/>
        </w:rPr>
        <w:t>conduct desk research: analysis of national legislation, international and European legal instruments, and public policies; judgments and conflicting opinions from national (and regional) courts; review of reports produced by international organisations and civil society organisations, relevant academic critiques and press articles</w:t>
      </w:r>
    </w:p>
    <w:p>
      <w:pPr>
        <w:pStyle w:val="Normal"/>
        <w:numPr>
          <w:ilvl w:val="0"/>
          <w:numId w:val="1"/>
        </w:numPr>
        <w:bidi w:val="0"/>
        <w:jc w:val="both"/>
        <w:rPr>
          <w:rFonts w:ascii="Adelle Sans EXT" w:hAnsi="Adelle Sans EXT"/>
          <w:lang w:val="en-GB"/>
        </w:rPr>
      </w:pPr>
      <w:r>
        <w:rPr>
          <w:rFonts w:ascii="Adelle Sans EXT" w:hAnsi="Adelle Sans EXT"/>
          <w:lang w:val="en-GB"/>
        </w:rPr>
        <w:t>elaborate and draft an evidence-based, coherent, accessible and advocacy-oriented report, in collaboration with FIDH’s member organisation in Italy (</w:t>
      </w:r>
      <w:r>
        <w:rPr>
          <w:rFonts w:ascii="Adelle Sans EXT" w:hAnsi="Adelle Sans EXT"/>
          <w:shd w:fill="auto" w:val="clear"/>
          <w:lang w:val="en-GB"/>
        </w:rPr>
        <w:t xml:space="preserve">approx. </w:t>
      </w:r>
      <w:r>
        <w:rPr>
          <w:rFonts w:ascii="Adelle Sans EXT" w:hAnsi="Adelle Sans EXT"/>
          <w:lang w:val="en-GB"/>
        </w:rPr>
        <w:t>40–50 pages) and remain available to adapt the report to all relevant stakeholders’ feedback</w:t>
      </w:r>
    </w:p>
    <w:p>
      <w:pPr>
        <w:pStyle w:val="Normal"/>
        <w:numPr>
          <w:ilvl w:val="0"/>
          <w:numId w:val="0"/>
        </w:numPr>
        <w:bidi w:val="0"/>
        <w:ind w:hanging="0" w:start="720"/>
        <w:jc w:val="both"/>
        <w:rPr>
          <w:rFonts w:ascii="Adelle Sans EXT" w:hAnsi="Adelle Sans EXT"/>
          <w:lang w:val="en-GB"/>
        </w:rPr>
      </w:pPr>
      <w:r>
        <w:rPr/>
      </w:r>
    </w:p>
    <w:p>
      <w:pPr>
        <w:pStyle w:val="Normal"/>
        <w:bidi w:val="0"/>
        <w:jc w:val="both"/>
        <w:rPr>
          <w:rFonts w:ascii="Adelle Sans EXT" w:hAnsi="Adelle Sans EXT"/>
          <w:lang w:val="en-GB"/>
        </w:rPr>
      </w:pPr>
      <w:r>
        <w:rPr>
          <w:rFonts w:ascii="Adelle Sans EXT" w:hAnsi="Adelle Sans EXT"/>
          <w:lang w:val="en-GB"/>
        </w:rPr>
        <w:t>The consultant shall assign to FIDH all intellectual property rights over the deliverables produced under this consultancy (report, briefings, and related materials). The processing of any personal data collected during interviews shall comply with applicable data protection regulations (including the GDPR).</w:t>
      </w:r>
    </w:p>
    <w:p>
      <w:pPr>
        <w:pStyle w:val="Normal"/>
        <w:bidi w:val="0"/>
        <w:jc w:val="both"/>
        <w:rPr>
          <w:rFonts w:ascii="Adelle Sans EXT" w:hAnsi="Adelle Sans EXT"/>
          <w:lang w:val="en-GB"/>
        </w:rPr>
      </w:pPr>
      <w:r>
        <w:rPr/>
      </w:r>
    </w:p>
    <w:p>
      <w:pPr>
        <w:pStyle w:val="Normal"/>
        <w:bidi w:val="0"/>
        <w:jc w:val="both"/>
        <w:rPr>
          <w:rFonts w:ascii="Adelle Sans EXT" w:hAnsi="Adelle Sans EXT"/>
          <w:lang w:val="en-GB"/>
        </w:rPr>
      </w:pPr>
      <w:r>
        <w:rPr>
          <w:rFonts w:ascii="Adelle Sans EXT" w:hAnsi="Adelle Sans EXT"/>
          <w:lang w:val="en-GB"/>
        </w:rPr>
        <w:t xml:space="preserve">In addition to the report, the consultant is expected to conduct regular monitoring with a view to reacting to developments impacting civil society and human rights defenders through urgent appeals and other actions in the framework of the Observatory for the protection of human rights defenders. </w:t>
      </w:r>
    </w:p>
    <w:p>
      <w:pPr>
        <w:pStyle w:val="Normal"/>
        <w:bidi w:val="0"/>
        <w:jc w:val="both"/>
        <w:rPr>
          <w:rFonts w:ascii="Adelle Sans EXT" w:hAnsi="Adelle Sans EXT"/>
          <w:lang w:val="en-GB"/>
        </w:rPr>
      </w:pPr>
      <w:r>
        <w:rPr>
          <w:rFonts w:ascii="Adelle Sans EXT" w:hAnsi="Adelle Sans EXT"/>
          <w:lang w:val="en-GB"/>
        </w:rPr>
      </w:r>
    </w:p>
    <w:p>
      <w:pPr>
        <w:pStyle w:val="Normal"/>
        <w:bidi w:val="0"/>
        <w:jc w:val="both"/>
        <w:rPr>
          <w:rFonts w:ascii="Adelle Sans EXT" w:hAnsi="Adelle Sans EXT"/>
          <w:b/>
          <w:bCs/>
          <w:lang w:val="en-GB"/>
        </w:rPr>
      </w:pPr>
      <w:r>
        <w:rPr>
          <w:rFonts w:ascii="Adelle Sans EXT" w:hAnsi="Adelle Sans EXT"/>
          <w:b/>
          <w:bCs/>
          <w:lang w:val="en-GB"/>
        </w:rPr>
        <w:t>Communication</w:t>
      </w:r>
    </w:p>
    <w:p>
      <w:pPr>
        <w:pStyle w:val="Normal"/>
        <w:bidi w:val="0"/>
        <w:jc w:val="both"/>
        <w:rPr>
          <w:rFonts w:ascii="Adelle Sans EXT" w:hAnsi="Adelle Sans EXT"/>
          <w:lang w:val="en-GB"/>
        </w:rPr>
      </w:pPr>
      <w:r>
        <w:rPr>
          <w:rFonts w:ascii="Adelle Sans EXT" w:hAnsi="Adelle Sans EXT"/>
          <w:lang w:val="en-GB"/>
        </w:rPr>
        <w:t xml:space="preserve">The consultant shall remain available to contribute to various actions around the publication of the report, including by supporting the public launch event. </w:t>
      </w:r>
    </w:p>
    <w:p>
      <w:pPr>
        <w:pStyle w:val="Normal"/>
        <w:numPr>
          <w:ilvl w:val="0"/>
          <w:numId w:val="2"/>
        </w:numPr>
        <w:bidi w:val="0"/>
        <w:jc w:val="both"/>
        <w:rPr/>
      </w:pPr>
      <w:r>
        <w:rPr>
          <w:rFonts w:ascii="Adelle Sans EXT" w:hAnsi="Adelle Sans EXT"/>
          <w:lang w:val="en-GB"/>
        </w:rPr>
        <w:t xml:space="preserve">Coordinate with relevant colleagues and assist with reviewing the translation and layout of the report and related documents (Italian/English) </w:t>
      </w:r>
    </w:p>
    <w:p>
      <w:pPr>
        <w:pStyle w:val="Normal"/>
        <w:numPr>
          <w:ilvl w:val="0"/>
          <w:numId w:val="2"/>
        </w:numPr>
        <w:bidi w:val="0"/>
        <w:jc w:val="both"/>
        <w:rPr>
          <w:rFonts w:ascii="Adelle Sans EXT" w:hAnsi="Adelle Sans EXT"/>
          <w:lang w:val="en-GB"/>
        </w:rPr>
      </w:pPr>
      <w:r>
        <w:rPr>
          <w:rFonts w:ascii="Adelle Sans EXT" w:hAnsi="Adelle Sans EXT"/>
          <w:lang w:val="en-GB"/>
        </w:rPr>
        <w:t>Contribute to and attend the public launch event (format to be determined in concertation with FIDH’s member organisation in Italy)</w:t>
      </w:r>
    </w:p>
    <w:p>
      <w:pPr>
        <w:pStyle w:val="Normal"/>
        <w:numPr>
          <w:ilvl w:val="0"/>
          <w:numId w:val="2"/>
        </w:numPr>
        <w:bidi w:val="0"/>
        <w:jc w:val="both"/>
        <w:rPr/>
      </w:pPr>
      <w:r>
        <w:rPr>
          <w:rFonts w:ascii="Adelle Sans EXT" w:hAnsi="Adelle Sans EXT"/>
          <w:lang w:val="en-GB"/>
        </w:rPr>
        <w:t>Support the communications department at FIDH in the preparation of content for the media and social media : press release, Instagram posts, infographics, etc..</w:t>
      </w:r>
    </w:p>
    <w:p>
      <w:pPr>
        <w:pStyle w:val="Normal"/>
        <w:bidi w:val="0"/>
        <w:jc w:val="both"/>
        <w:rPr>
          <w:rFonts w:ascii="Adelle Sans EXT" w:hAnsi="Adelle Sans EXT"/>
          <w:b/>
          <w:bCs/>
          <w:lang w:val="en-GB"/>
        </w:rPr>
      </w:pPr>
      <w:r>
        <w:rPr>
          <w:rFonts w:ascii="Adelle Sans EXT" w:hAnsi="Adelle Sans EXT"/>
          <w:b/>
          <w:bCs/>
          <w:lang w:val="en-GB"/>
        </w:rPr>
      </w:r>
    </w:p>
    <w:p>
      <w:pPr>
        <w:pStyle w:val="Normal"/>
        <w:bidi w:val="0"/>
        <w:jc w:val="both"/>
        <w:rPr>
          <w:rFonts w:ascii="Adelle Sans EXT" w:hAnsi="Adelle Sans EXT"/>
          <w:b/>
          <w:bCs/>
          <w:lang w:val="en-GB"/>
        </w:rPr>
      </w:pPr>
      <w:r>
        <w:rPr>
          <w:rFonts w:ascii="Adelle Sans EXT" w:hAnsi="Adelle Sans EXT"/>
          <w:b/>
          <w:bCs/>
          <w:lang w:val="en-GB"/>
        </w:rPr>
        <w:t>National &amp; International Advocacy</w:t>
      </w:r>
    </w:p>
    <w:p>
      <w:pPr>
        <w:pStyle w:val="Normal"/>
        <w:bidi w:val="0"/>
        <w:jc w:val="both"/>
        <w:rPr>
          <w:rFonts w:ascii="Adelle Sans EXT" w:hAnsi="Adelle Sans EXT"/>
          <w:lang w:val="en-GB"/>
        </w:rPr>
      </w:pPr>
      <w:r>
        <w:rPr>
          <w:rFonts w:ascii="Adelle Sans EXT" w:hAnsi="Adelle Sans EXT"/>
          <w:lang w:val="en-GB"/>
        </w:rPr>
        <w:t>The consultant will support the Western Europe desk in designing advocacy strategies towards national authorities, European institutions and international bodies to present and promote the report’s findings.</w:t>
      </w:r>
    </w:p>
    <w:p>
      <w:pPr>
        <w:pStyle w:val="Normal"/>
        <w:numPr>
          <w:ilvl w:val="0"/>
          <w:numId w:val="3"/>
        </w:numPr>
        <w:bidi w:val="0"/>
        <w:jc w:val="both"/>
        <w:rPr>
          <w:rFonts w:ascii="Adelle Sans EXT" w:hAnsi="Adelle Sans EXT"/>
          <w:lang w:val="en-GB"/>
        </w:rPr>
      </w:pPr>
      <w:r>
        <w:rPr>
          <w:rFonts w:ascii="Adelle Sans EXT" w:hAnsi="Adelle Sans EXT"/>
          <w:lang w:val="en-GB"/>
        </w:rPr>
        <w:t>Support the organisation of an advocacy mission in Rome in cooperation with local partners</w:t>
      </w:r>
    </w:p>
    <w:p>
      <w:pPr>
        <w:pStyle w:val="Normal"/>
        <w:numPr>
          <w:ilvl w:val="0"/>
          <w:numId w:val="3"/>
        </w:numPr>
        <w:bidi w:val="0"/>
        <w:jc w:val="both"/>
        <w:rPr>
          <w:rFonts w:ascii="Adelle Sans EXT" w:hAnsi="Adelle Sans EXT"/>
          <w:lang w:val="en-GB"/>
        </w:rPr>
      </w:pPr>
      <w:r>
        <w:rPr>
          <w:rFonts w:ascii="Adelle Sans EXT" w:hAnsi="Adelle Sans EXT"/>
          <w:lang w:val="en-GB"/>
        </w:rPr>
        <w:t xml:space="preserve">Organise advocacy rounds at the EU, Council of Europe and/or UN level (including identification of key messages, relevant stakeholders, follow-up work after the meetings, etc.). Number is to be determined based on strategic opportunities identified following the research and the time remaining. </w:t>
      </w:r>
    </w:p>
    <w:p>
      <w:pPr>
        <w:pStyle w:val="Normal"/>
        <w:bidi w:val="0"/>
        <w:jc w:val="both"/>
        <w:rPr>
          <w:rFonts w:ascii="Adelle Sans EXT" w:hAnsi="Adelle Sans EXT"/>
          <w:lang w:val="en-GB"/>
        </w:rPr>
      </w:pPr>
      <w:r>
        <w:rPr>
          <w:rFonts w:ascii="Adelle Sans EXT" w:hAnsi="Adelle Sans EXT"/>
          <w:lang w:val="en-GB"/>
        </w:rPr>
      </w:r>
    </w:p>
    <w:p>
      <w:pPr>
        <w:pStyle w:val="Normal"/>
        <w:bidi w:val="0"/>
        <w:jc w:val="both"/>
        <w:rPr>
          <w:rFonts w:ascii="Adelle Sans EXT" w:hAnsi="Adelle Sans EXT"/>
          <w:lang w:val="en-GB"/>
        </w:rPr>
      </w:pPr>
      <w:r>
        <w:rPr>
          <w:rFonts w:ascii="Adelle Sans EXT" w:hAnsi="Adelle Sans EXT"/>
          <w:lang w:val="en-GB"/>
        </w:rPr>
      </w:r>
    </w:p>
    <w:p>
      <w:pPr>
        <w:pStyle w:val="Normal"/>
        <w:bidi w:val="0"/>
        <w:jc w:val="both"/>
        <w:rPr>
          <w:rFonts w:ascii="Adelle Sans EXT" w:hAnsi="Adelle Sans EXT"/>
          <w:lang w:val="en-GB"/>
        </w:rPr>
      </w:pPr>
      <w:r>
        <w:rPr>
          <w:rFonts w:ascii="Adelle Sans EXT" w:hAnsi="Adelle Sans EXT"/>
          <w:b/>
          <w:bCs/>
          <w:lang w:val="en-GB"/>
        </w:rPr>
        <w:t>Experience and Qualifications</w:t>
      </w:r>
      <w:r>
        <w:rPr>
          <w:rFonts w:ascii="Adelle Sans EXT" w:hAnsi="Adelle Sans EXT"/>
          <w:lang w:val="en-GB"/>
        </w:rPr>
        <w:t xml:space="preserve">: </w:t>
      </w:r>
    </w:p>
    <w:p>
      <w:pPr>
        <w:pStyle w:val="Normal"/>
        <w:bidi w:val="0"/>
        <w:jc w:val="both"/>
        <w:rPr>
          <w:rFonts w:ascii="Adelle Sans EXT" w:hAnsi="Adelle Sans EXT"/>
          <w:lang w:val="en-GB"/>
        </w:rPr>
      </w:pPr>
      <w:r>
        <w:rPr>
          <w:rFonts w:ascii="Adelle Sans EXT" w:hAnsi="Adelle Sans EXT"/>
          <w:lang w:val="en-GB"/>
        </w:rPr>
        <w:t>- Degree in law (preferably in Italian public law, international law or international human rights law), political sciences, international relations or relevant studies</w:t>
      </w:r>
    </w:p>
    <w:p>
      <w:pPr>
        <w:pStyle w:val="Normal"/>
        <w:bidi w:val="0"/>
        <w:jc w:val="both"/>
        <w:rPr>
          <w:rFonts w:ascii="Adelle Sans EXT" w:hAnsi="Adelle Sans EXT"/>
          <w:lang w:val="en-GB"/>
        </w:rPr>
      </w:pPr>
      <w:r>
        <w:rPr>
          <w:rFonts w:ascii="Adelle Sans EXT" w:hAnsi="Adelle Sans EXT"/>
          <w:lang w:val="en-GB"/>
        </w:rPr>
        <w:t>- At least 5 years experience in a relevant field (previous experience working with a human rights organisation in Italy would be an asset)</w:t>
      </w:r>
    </w:p>
    <w:p>
      <w:pPr>
        <w:pStyle w:val="Normal"/>
        <w:bidi w:val="0"/>
        <w:jc w:val="both"/>
        <w:rPr>
          <w:rFonts w:ascii="Adelle Sans EXT" w:hAnsi="Adelle Sans EXT"/>
          <w:lang w:val="en-GB"/>
        </w:rPr>
      </w:pPr>
      <w:r>
        <w:rPr>
          <w:rFonts w:ascii="Adelle Sans EXT" w:hAnsi="Adelle Sans EXT"/>
          <w:lang w:val="en-GB"/>
        </w:rPr>
        <w:t>- Experience in writing reports, briefings and policy papers</w:t>
      </w:r>
    </w:p>
    <w:p>
      <w:pPr>
        <w:pStyle w:val="Normal"/>
        <w:bidi w:val="0"/>
        <w:jc w:val="both"/>
        <w:rPr>
          <w:rFonts w:ascii="Adelle Sans EXT" w:hAnsi="Adelle Sans EXT"/>
          <w:lang w:val="en-GB"/>
        </w:rPr>
      </w:pPr>
      <w:r>
        <w:rPr>
          <w:rFonts w:ascii="Adelle Sans EXT" w:hAnsi="Adelle Sans EXT"/>
          <w:lang w:val="en-GB"/>
        </w:rPr>
        <w:t>- Experience in conducting human rights advocacy at the European/international level</w:t>
      </w:r>
    </w:p>
    <w:p>
      <w:pPr>
        <w:pStyle w:val="Normal"/>
        <w:bidi w:val="0"/>
        <w:jc w:val="both"/>
        <w:rPr>
          <w:rFonts w:ascii="Adelle Sans EXT" w:hAnsi="Adelle Sans EXT"/>
          <w:lang w:val="en-GB"/>
        </w:rPr>
      </w:pPr>
      <w:r>
        <w:rPr>
          <w:rFonts w:ascii="Adelle Sans EXT" w:hAnsi="Adelle Sans EXT"/>
          <w:lang w:val="en-GB"/>
        </w:rPr>
        <w:t>- Solid understanding of the political, social and human rights context and the challenges faced by civil society in Italy</w:t>
      </w:r>
    </w:p>
    <w:p>
      <w:pPr>
        <w:pStyle w:val="Normal"/>
        <w:bidi w:val="0"/>
        <w:jc w:val="both"/>
        <w:rPr>
          <w:rFonts w:ascii="Adelle Sans EXT" w:hAnsi="Adelle Sans EXT"/>
          <w:lang w:val="en-GB"/>
        </w:rPr>
      </w:pPr>
      <w:r>
        <w:rPr>
          <w:rFonts w:ascii="Adelle Sans EXT" w:hAnsi="Adelle Sans EXT"/>
          <w:lang w:val="en-GB"/>
        </w:rPr>
        <w:t>- Experience working with people from diverse backgrounds showing tact, diplomacy and cultural sensitivity</w:t>
      </w:r>
    </w:p>
    <w:p>
      <w:pPr>
        <w:pStyle w:val="Normal"/>
        <w:bidi w:val="0"/>
        <w:jc w:val="both"/>
        <w:rPr>
          <w:rFonts w:ascii="Adelle Sans EXT" w:hAnsi="Adelle Sans EXT"/>
          <w:lang w:val="en-GB"/>
        </w:rPr>
      </w:pPr>
      <w:r>
        <w:rPr>
          <w:rFonts w:ascii="Adelle Sans EXT" w:hAnsi="Adelle Sans EXT"/>
          <w:lang w:val="en-GB"/>
        </w:rPr>
      </w:r>
    </w:p>
    <w:p>
      <w:pPr>
        <w:pStyle w:val="Normal"/>
        <w:bidi w:val="0"/>
        <w:jc w:val="both"/>
        <w:rPr>
          <w:rFonts w:ascii="Adelle Sans EXT" w:hAnsi="Adelle Sans EXT"/>
          <w:b/>
          <w:bCs/>
          <w:lang w:val="en-GB"/>
        </w:rPr>
      </w:pPr>
      <w:r>
        <w:rPr>
          <w:rFonts w:ascii="Adelle Sans EXT" w:hAnsi="Adelle Sans EXT"/>
          <w:b/>
          <w:bCs/>
          <w:lang w:val="en-GB"/>
        </w:rPr>
        <w:t>Skills</w:t>
      </w:r>
    </w:p>
    <w:p>
      <w:pPr>
        <w:pStyle w:val="Normal"/>
        <w:bidi w:val="0"/>
        <w:jc w:val="both"/>
        <w:rPr>
          <w:rFonts w:ascii="Adelle Sans EXT" w:hAnsi="Adelle Sans EXT"/>
          <w:lang w:val="en-GB"/>
        </w:rPr>
      </w:pPr>
      <w:r>
        <w:rPr>
          <w:rFonts w:ascii="Adelle Sans EXT" w:hAnsi="Adelle Sans EXT"/>
          <w:lang w:val="en-GB"/>
        </w:rPr>
        <w:t>- Excellent analytical and writing skills</w:t>
      </w:r>
    </w:p>
    <w:p>
      <w:pPr>
        <w:pStyle w:val="Normal"/>
        <w:bidi w:val="0"/>
        <w:jc w:val="both"/>
        <w:rPr>
          <w:rFonts w:ascii="Adelle Sans EXT" w:hAnsi="Adelle Sans EXT"/>
          <w:lang w:val="en-GB"/>
        </w:rPr>
      </w:pPr>
      <w:r>
        <w:rPr>
          <w:rFonts w:ascii="Adelle Sans EXT" w:hAnsi="Adelle Sans EXT"/>
          <w:lang w:val="en-GB"/>
        </w:rPr>
        <w:t>- Excellent interpersonal and networking skills</w:t>
      </w:r>
    </w:p>
    <w:p>
      <w:pPr>
        <w:pStyle w:val="Normal"/>
        <w:bidi w:val="0"/>
        <w:jc w:val="both"/>
        <w:rPr>
          <w:rFonts w:ascii="Adelle Sans EXT" w:hAnsi="Adelle Sans EXT"/>
          <w:lang w:val="en-GB"/>
        </w:rPr>
      </w:pPr>
      <w:r>
        <w:rPr>
          <w:rFonts w:ascii="Adelle Sans EXT" w:hAnsi="Adelle Sans EXT"/>
          <w:lang w:val="en-GB"/>
        </w:rPr>
        <w:t>- Full command and ability to communicate clearly and concisely in English and Italian (working knowledge of French would be an asset)</w:t>
      </w:r>
    </w:p>
    <w:p>
      <w:pPr>
        <w:pStyle w:val="Normal"/>
        <w:bidi w:val="0"/>
        <w:jc w:val="both"/>
        <w:rPr>
          <w:rFonts w:ascii="Adelle Sans EXT" w:hAnsi="Adelle Sans EXT"/>
          <w:lang w:val="en-GB"/>
        </w:rPr>
      </w:pPr>
      <w:r>
        <w:rPr>
          <w:rFonts w:ascii="Adelle Sans EXT" w:hAnsi="Adelle Sans EXT"/>
          <w:lang w:val="en-GB"/>
        </w:rPr>
        <w:t>- Ability to prioritize and manage multiple tasks and meet deadlines</w:t>
      </w:r>
    </w:p>
    <w:p>
      <w:pPr>
        <w:pStyle w:val="Normal"/>
        <w:bidi w:val="0"/>
        <w:jc w:val="both"/>
        <w:rPr>
          <w:rFonts w:ascii="Adelle Sans EXT" w:hAnsi="Adelle Sans EXT"/>
          <w:lang w:val="en-GB"/>
        </w:rPr>
      </w:pPr>
      <w:r>
        <w:rPr>
          <w:rFonts w:ascii="Adelle Sans EXT" w:hAnsi="Adelle Sans EXT"/>
          <w:lang w:val="en-GB"/>
        </w:rPr>
      </w:r>
    </w:p>
    <w:p>
      <w:pPr>
        <w:pStyle w:val="Normal"/>
        <w:bidi w:val="0"/>
        <w:jc w:val="start"/>
        <w:rPr/>
      </w:pPr>
      <w:r>
        <w:rPr>
          <w:rStyle w:val="Strong"/>
          <w:rFonts w:ascii="Adelle Sans EXT" w:hAnsi="Adelle Sans EXT"/>
          <w:lang w:val="en-GB"/>
        </w:rPr>
        <w:t>Ethical Considerations &amp; Safety</w:t>
      </w:r>
      <w:r>
        <w:rPr>
          <w:rFonts w:ascii="Adelle Sans EXT" w:hAnsi="Adelle Sans EXT"/>
          <w:lang w:val="en-GB"/>
        </w:rPr>
        <w:br/>
        <w:t>The researcher must adhere to:</w:t>
      </w:r>
    </w:p>
    <w:p>
      <w:pPr>
        <w:pStyle w:val="Normal"/>
        <w:bidi w:val="0"/>
        <w:jc w:val="start"/>
        <w:rPr>
          <w:rFonts w:ascii="Adelle Sans EXT" w:hAnsi="Adelle Sans EXT"/>
          <w:lang w:val="en-GB"/>
        </w:rPr>
      </w:pPr>
      <w:r>
        <w:rPr>
          <w:rFonts w:ascii="Adelle Sans EXT" w:hAnsi="Adelle Sans EXT"/>
          <w:lang w:val="en-GB"/>
        </w:rPr>
        <w:t>- Intersectional feminist, human rights and anti-oppression principles</w:t>
      </w:r>
    </w:p>
    <w:p>
      <w:pPr>
        <w:pStyle w:val="Normal"/>
        <w:bidi w:val="0"/>
        <w:jc w:val="start"/>
        <w:rPr>
          <w:rFonts w:ascii="Adelle Sans EXT" w:hAnsi="Adelle Sans EXT"/>
          <w:lang w:val="en-GB"/>
        </w:rPr>
      </w:pPr>
      <w:r>
        <w:rPr>
          <w:rFonts w:ascii="Adelle Sans EXT" w:hAnsi="Adelle Sans EXT"/>
          <w:lang w:val="en-GB"/>
        </w:rPr>
        <w:t>- Secure communication practices</w:t>
      </w:r>
    </w:p>
    <w:p>
      <w:pPr>
        <w:pStyle w:val="Normal"/>
        <w:bidi w:val="0"/>
        <w:jc w:val="start"/>
        <w:rPr>
          <w:rFonts w:ascii="Adelle Sans EXT" w:hAnsi="Adelle Sans EXT"/>
          <w:lang w:val="en-GB"/>
        </w:rPr>
      </w:pPr>
      <w:r>
        <w:rPr>
          <w:rFonts w:ascii="Adelle Sans EXT" w:hAnsi="Adelle Sans EXT"/>
          <w:lang w:val="en-GB"/>
        </w:rPr>
        <w:t>- Trauma-informed and survivor-centred approaches</w:t>
      </w:r>
    </w:p>
    <w:p>
      <w:pPr>
        <w:pStyle w:val="Normal"/>
        <w:bidi w:val="0"/>
        <w:jc w:val="start"/>
        <w:rPr>
          <w:rFonts w:ascii="Adelle Sans EXT" w:hAnsi="Adelle Sans EXT"/>
          <w:lang w:val="en-GB"/>
        </w:rPr>
      </w:pPr>
      <w:r>
        <w:rPr>
          <w:rFonts w:ascii="Adelle Sans EXT" w:hAnsi="Adelle Sans EXT"/>
          <w:lang w:val="en-GB"/>
        </w:rPr>
        <w:t>- Confidentiality and protection of sensitive information</w:t>
      </w:r>
    </w:p>
    <w:p>
      <w:pPr>
        <w:pStyle w:val="Normal"/>
        <w:bidi w:val="0"/>
        <w:jc w:val="start"/>
        <w:rPr>
          <w:rFonts w:ascii="Adelle Sans EXT" w:hAnsi="Adelle Sans EXT"/>
          <w:lang w:val="en-GB"/>
        </w:rPr>
      </w:pPr>
      <w:r>
        <w:rPr>
          <w:rFonts w:ascii="Adelle Sans EXT" w:hAnsi="Adelle Sans EXT"/>
          <w:lang w:val="en-GB"/>
        </w:rPr>
        <w:t>- Informed consent procedures for interviews and case stories</w:t>
      </w:r>
    </w:p>
    <w:p>
      <w:pPr>
        <w:pStyle w:val="Normal"/>
        <w:bidi w:val="0"/>
        <w:jc w:val="start"/>
        <w:rPr>
          <w:rFonts w:ascii="Adelle Sans EXT" w:hAnsi="Adelle Sans EXT"/>
          <w:lang w:val="en-GB"/>
        </w:rPr>
      </w:pPr>
      <w:r>
        <w:rPr>
          <w:rFonts w:ascii="Adelle Sans EXT" w:hAnsi="Adelle Sans EXT"/>
          <w:lang w:val="en-GB"/>
        </w:rPr>
        <w:t>- A security risk assessment prior to the fact-finding mission, including an emergency contact protocol</w:t>
      </w:r>
    </w:p>
    <w:p>
      <w:pPr>
        <w:pStyle w:val="Normal"/>
        <w:bidi w:val="0"/>
        <w:jc w:val="start"/>
        <w:rPr>
          <w:rFonts w:ascii="Adelle Sans EXT" w:hAnsi="Adelle Sans EXT"/>
          <w:lang w:val="en-GB"/>
        </w:rPr>
      </w:pPr>
      <w:r>
        <w:rPr/>
      </w:r>
    </w:p>
    <w:p>
      <w:pPr>
        <w:pStyle w:val="Normal"/>
        <w:bidi w:val="0"/>
        <w:jc w:val="start"/>
        <w:rPr>
          <w:lang w:val="en-GB" w:eastAsia="zh-CN" w:bidi="hi-IN"/>
        </w:rPr>
      </w:pPr>
      <w:r>
        <w:rPr>
          <w:rFonts w:ascii="Adelle Sans EXT" w:hAnsi="Adelle Sans EXT"/>
          <w:b/>
          <w:bCs/>
          <w:lang w:val="en-GB" w:eastAsia="zh-CN" w:bidi="hi-IN"/>
        </w:rPr>
        <w:t>Compensation terms</w:t>
      </w:r>
      <w:r>
        <w:rPr>
          <w:rFonts w:ascii="Adelle Sans EXT" w:hAnsi="Adelle Sans EXT"/>
          <w:lang w:val="en-GB" w:eastAsia="zh-CN" w:bidi="hi-IN"/>
        </w:rPr>
        <w:t>:  The total budget available for this consultancy is up to €35,000 (inclusive of all fees, expenses and applicable taxes).</w:t>
      </w:r>
    </w:p>
    <w:p>
      <w:pPr>
        <w:pStyle w:val="Normal"/>
        <w:bidi w:val="0"/>
        <w:jc w:val="start"/>
        <w:rPr>
          <w:rFonts w:ascii="Adelle Sans EXT" w:hAnsi="Adelle Sans EXT"/>
          <w:lang w:val="en-GB" w:eastAsia="zh-CN" w:bidi="hi-IN"/>
        </w:rPr>
      </w:pPr>
      <w:r>
        <w:rPr>
          <w:rFonts w:ascii="Adelle Sans EXT" w:hAnsi="Adelle Sans EXT"/>
          <w:lang w:val="en-GB" w:eastAsia="zh-CN" w:bidi="hi-IN"/>
        </w:rPr>
      </w:r>
    </w:p>
    <w:p>
      <w:pPr>
        <w:pStyle w:val="Normal"/>
        <w:bidi w:val="0"/>
        <w:jc w:val="start"/>
        <w:rPr>
          <w:rFonts w:ascii="Adelle Sans EXT" w:hAnsi="Adelle Sans EXT"/>
          <w:b/>
          <w:bCs/>
          <w:lang w:val="en-GB"/>
        </w:rPr>
      </w:pPr>
      <w:r>
        <w:rPr>
          <w:rFonts w:ascii="Adelle Sans EXT" w:hAnsi="Adelle Sans EXT"/>
          <w:b/>
          <w:bCs/>
          <w:lang w:val="en-GB"/>
        </w:rPr>
        <w:t>How to apply:</w:t>
      </w:r>
    </w:p>
    <w:p>
      <w:pPr>
        <w:pStyle w:val="Normal"/>
        <w:bidi w:val="0"/>
        <w:jc w:val="start"/>
        <w:rPr>
          <w:rFonts w:ascii="Adelle Sans EXT" w:hAnsi="Adelle Sans EXT"/>
          <w:lang w:val="en-GB"/>
        </w:rPr>
      </w:pPr>
      <w:r>
        <w:rPr>
          <w:rFonts w:ascii="Adelle Sans EXT" w:hAnsi="Adelle Sans EXT"/>
          <w:lang w:val="en-GB"/>
        </w:rPr>
        <w:t xml:space="preserve">Please send us the following materials: </w:t>
      </w:r>
    </w:p>
    <w:p>
      <w:pPr>
        <w:pStyle w:val="Normal"/>
        <w:bidi w:val="0"/>
        <w:jc w:val="start"/>
        <w:rPr>
          <w:rFonts w:ascii="Adelle Sans EXT" w:hAnsi="Adelle Sans EXT"/>
          <w:lang w:val="en-GB"/>
        </w:rPr>
      </w:pPr>
      <w:r>
        <w:rPr>
          <w:rFonts w:ascii="Adelle Sans EXT" w:hAnsi="Adelle Sans EXT"/>
          <w:lang w:val="en-GB"/>
        </w:rPr>
        <w:t>- CV showing relevant work experience</w:t>
      </w:r>
    </w:p>
    <w:p>
      <w:pPr>
        <w:pStyle w:val="Normal"/>
        <w:bidi w:val="0"/>
        <w:jc w:val="start"/>
        <w:rPr>
          <w:rFonts w:ascii="Adelle Sans EXT" w:hAnsi="Adelle Sans EXT"/>
          <w:lang w:val="en-GB"/>
        </w:rPr>
      </w:pPr>
      <w:r>
        <w:rPr>
          <w:rFonts w:ascii="Adelle Sans EXT" w:hAnsi="Adelle Sans EXT"/>
          <w:lang w:val="en-GB"/>
        </w:rPr>
        <w:t>- Cover letter with a brief description of your background and why you would be a good fit for this work</w:t>
      </w:r>
    </w:p>
    <w:p>
      <w:pPr>
        <w:pStyle w:val="Normal"/>
        <w:bidi w:val="0"/>
        <w:jc w:val="start"/>
        <w:rPr>
          <w:highlight w:val="none"/>
          <w:shd w:fill="auto" w:val="clear"/>
        </w:rPr>
      </w:pPr>
      <w:r>
        <w:rPr>
          <w:rFonts w:ascii="Adelle Sans EXT" w:hAnsi="Adelle Sans EXT"/>
          <w:shd w:fill="auto" w:val="clear"/>
          <w:lang w:val="en-GB"/>
        </w:rPr>
        <w:t>- Portfolio with links to authored research publications (if available)</w:t>
      </w:r>
    </w:p>
    <w:p>
      <w:pPr>
        <w:pStyle w:val="Normal"/>
        <w:bidi w:val="0"/>
        <w:jc w:val="start"/>
        <w:rPr>
          <w:rFonts w:ascii="Adelle Sans EXT" w:hAnsi="Adelle Sans EXT"/>
          <w:lang w:val="en-GB"/>
        </w:rPr>
      </w:pPr>
      <w:r>
        <w:rPr>
          <w:rFonts w:ascii="Adelle Sans EXT" w:hAnsi="Adelle Sans EXT"/>
          <w:lang w:val="en-GB"/>
        </w:rPr>
        <w:t>- Contacts of 2 referees.</w:t>
      </w:r>
    </w:p>
    <w:p>
      <w:pPr>
        <w:pStyle w:val="Normal"/>
        <w:bidi w:val="0"/>
        <w:jc w:val="start"/>
        <w:rPr/>
      </w:pPr>
      <w:r>
        <w:rPr>
          <w:rFonts w:ascii="Adelle Sans EXT" w:hAnsi="Adelle Sans EXT"/>
          <w:shd w:fill="auto" w:val="clear"/>
          <w:lang w:val="en-GB"/>
        </w:rPr>
        <w:t xml:space="preserve">Please send your application to </w:t>
      </w:r>
      <w:hyperlink r:id="rId4">
        <w:r>
          <w:rPr>
            <w:rStyle w:val="Hyperlink"/>
            <w:rFonts w:ascii="Adelle Sans EXT" w:hAnsi="Adelle Sans EXT"/>
            <w:shd w:fill="auto" w:val="clear"/>
            <w:lang w:val="en-GB"/>
          </w:rPr>
          <w:t>ecrespi@fidh.org</w:t>
        </w:r>
      </w:hyperlink>
      <w:r>
        <w:rPr>
          <w:rFonts w:ascii="Adelle Sans EXT" w:hAnsi="Adelle Sans EXT"/>
          <w:shd w:fill="auto" w:val="clear"/>
          <w:lang w:val="en-GB"/>
        </w:rPr>
        <w:t xml:space="preserve"> and </w:t>
      </w:r>
      <w:hyperlink r:id="rId5">
        <w:r>
          <w:rPr>
            <w:rStyle w:val="Hyperlink"/>
            <w:rFonts w:ascii="Adelle Sans EXT" w:hAnsi="Adelle Sans EXT"/>
            <w:shd w:fill="auto" w:val="clear"/>
            <w:lang w:val="en-GB"/>
          </w:rPr>
          <w:t>mlesireschweitzer@fidh.org</w:t>
        </w:r>
      </w:hyperlink>
      <w:r>
        <w:rPr>
          <w:rFonts w:ascii="Adelle Sans EXT" w:hAnsi="Adelle Sans EXT"/>
          <w:shd w:fill="auto" w:val="clear"/>
          <w:lang w:val="en-GB"/>
        </w:rPr>
        <w:t xml:space="preserve"> with ‘Researcher Italy – [your name]’ in the subject line. </w:t>
      </w:r>
    </w:p>
    <w:p>
      <w:pPr>
        <w:pStyle w:val="Normal"/>
        <w:bidi w:val="0"/>
        <w:jc w:val="start"/>
        <w:rPr>
          <w:rFonts w:ascii="Adelle Sans EXT" w:hAnsi="Adelle Sans EXT"/>
          <w:lang w:val="en-GB"/>
        </w:rPr>
      </w:pPr>
      <w:r>
        <w:rPr>
          <w:rFonts w:ascii="Adelle Sans EXT" w:hAnsi="Adelle Sans EXT"/>
          <w:lang w:val="en-GB"/>
        </w:rPr>
      </w:r>
    </w:p>
    <w:p>
      <w:pPr>
        <w:pStyle w:val="Normal"/>
        <w:bidi w:val="0"/>
        <w:jc w:val="start"/>
        <w:rPr>
          <w:rFonts w:ascii="Adelle Sans EXT" w:hAnsi="Adelle Sans EXT"/>
          <w:lang w:val="en-GB"/>
        </w:rPr>
      </w:pPr>
      <w:r>
        <w:rPr>
          <w:rFonts w:ascii="Adelle Sans EXT" w:hAnsi="Adelle Sans EXT"/>
          <w:lang w:val="en-GB"/>
        </w:rPr>
        <w:t xml:space="preserve">Application deadline: </w:t>
      </w:r>
      <w:r>
        <w:rPr>
          <w:rFonts w:eastAsia="Noto Serif CJK SC" w:cs="Noto Sans Devanagari" w:ascii="Adelle Sans EXT" w:hAnsi="Adelle Sans EXT"/>
          <w:color w:val="000000"/>
          <w:shd w:fill="FFFF00" w:val="clear"/>
          <w:lang w:val="en-GB" w:eastAsia="zh-CN" w:bidi="hi-IN"/>
        </w:rPr>
        <w:t>11</w:t>
      </w:r>
      <w:r>
        <w:rPr>
          <w:rFonts w:eastAsia="Noto Serif CJK SC" w:cs="Noto Sans Devanagari" w:ascii="Adelle Sans EXT" w:hAnsi="Adelle Sans EXT"/>
          <w:color w:val="000000"/>
          <w:shd w:fill="FFFF00" w:val="clear"/>
          <w:lang w:val="en-GB" w:eastAsia="zh-CN" w:bidi="hi-IN"/>
        </w:rPr>
        <w:t xml:space="preserve"> October 2026</w:t>
      </w:r>
      <w:r>
        <w:rPr>
          <w:rFonts w:ascii="Adelle Sans EXT" w:hAnsi="Adelle Sans EXT"/>
          <w:lang w:val="en-GB"/>
        </w:rPr>
        <w:t xml:space="preserve"> - Please note that applications will be reviewed on a rolling basis. </w:t>
      </w:r>
    </w:p>
    <w:sectPr>
      <w:footerReference w:type="even" r:id="rId6"/>
      <w:footerReference w:type="default" r:id="rId7"/>
      <w:footerReference w:type="first" r:id="rId8"/>
      <w:type w:val="nextPage"/>
      <w:pgSz w:w="11906" w:h="16838"/>
      <w:pgMar w:left="1134" w:right="1134" w:gutter="0" w:header="0" w:top="1134" w:footer="1134" w:bottom="1693"/>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OpenSymbol">
    <w:altName w:val="Arial Unicode MS"/>
    <w:charset w:val="01" w:characterSet="utf-8"/>
    <w:family w:val="roman"/>
    <w:pitch w:val="variable"/>
  </w:font>
  <w:font w:name="Liberation Sans">
    <w:altName w:val="Arial"/>
    <w:charset w:val="01" w:characterSet="utf-8"/>
    <w:family w:val="roman"/>
    <w:pitch w:val="variable"/>
  </w:font>
  <w:font w:name="Adelle Sans EXT">
    <w:charset w:val="01" w:characterSet="utf-8"/>
    <w:family w:val="roman"/>
    <w:pitch w:val="variable"/>
  </w:font>
  <w:font w:name="Wingdings">
    <w:charset w:val="02"/>
    <w:family w:val="auto"/>
    <w:pitch w:val="default"/>
  </w:font>
  <w:font w:name="OpenSymbol">
    <w:altName w:val="Arial Unicode MS"/>
    <w:charset w:val="01"/>
    <w:family w:val="auto"/>
    <w:pitch w:val="variable"/>
  </w:font>
  <w:font w:name="Symbol">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end"/>
      <w:rPr/>
    </w:pPr>
    <w:bookmarkStart w:id="0" w:name="PageNumWizard_FOOTER_Default_Page_Style3"/>
    <w:r>
      <w:rPr/>
      <w:fldChar w:fldCharType="begin"/>
    </w:r>
    <w:r>
      <w:rPr/>
      <w:instrText xml:space="preserve"> PAGE </w:instrText>
    </w:r>
    <w:r>
      <w:rPr/>
      <w:fldChar w:fldCharType="separate"/>
    </w:r>
    <w:r>
      <w:rPr/>
      <w:t>5</w:t>
    </w:r>
    <w:r>
      <w:rPr/>
      <w:fldChar w:fldCharType="end"/>
    </w:r>
    <w:bookmarkEnd w:id="0"/>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end"/>
      <w:rPr/>
    </w:pPr>
    <w:bookmarkStart w:id="1" w:name="PageNumWizard_FOOTER_Default_Page_Style3"/>
    <w:r>
      <w:rPr/>
      <w:fldChar w:fldCharType="begin"/>
    </w:r>
    <w:r>
      <w:rPr/>
      <w:instrText xml:space="preserve"> PAGE </w:instrText>
    </w:r>
    <w:r>
      <w:rPr/>
      <w:fldChar w:fldCharType="separate"/>
    </w:r>
    <w:r>
      <w:rPr/>
      <w:t>5</w:t>
    </w:r>
    <w:r>
      <w:rPr/>
      <w:fldChar w:fldCharType="end"/>
    </w:r>
    <w:bookmarkEnd w:id="1"/>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Wingdings" w:hAnsi="Wingdings" w:cs="Wingdings" w:hint="default"/>
      </w:rPr>
    </w:lvl>
    <w:lvl w:ilvl="1">
      <w:start w:val="1"/>
      <w:numFmt w:val="bullet"/>
      <w:lvlText w:val=""/>
      <w:lvlJc w:val="start"/>
      <w:pPr>
        <w:tabs>
          <w:tab w:val="num" w:pos="1080"/>
        </w:tabs>
        <w:ind w:start="1080" w:hanging="360"/>
      </w:pPr>
      <w:rPr>
        <w:rFonts w:ascii="Wingdings" w:hAnsi="Wingdings" w:cs="Wingdings" w:hint="default"/>
      </w:rPr>
    </w:lvl>
    <w:lvl w:ilvl="2">
      <w:start w:val="1"/>
      <w:numFmt w:val="bullet"/>
      <w:lvlText w:val=""/>
      <w:lvlJc w:val="start"/>
      <w:pPr>
        <w:tabs>
          <w:tab w:val="num" w:pos="1440"/>
        </w:tabs>
        <w:ind w:start="1440" w:hanging="360"/>
      </w:pPr>
      <w:rPr>
        <w:rFonts w:ascii="Wingdings" w:hAnsi="Wingdings" w:cs="Wingdings" w:hint="default"/>
      </w:rPr>
    </w:lvl>
    <w:lvl w:ilvl="3">
      <w:start w:val="1"/>
      <w:numFmt w:val="bullet"/>
      <w:lvlText w:val=""/>
      <w:lvlJc w:val="start"/>
      <w:pPr>
        <w:tabs>
          <w:tab w:val="num" w:pos="1800"/>
        </w:tabs>
        <w:ind w:start="1800" w:hanging="360"/>
      </w:pPr>
      <w:rPr>
        <w:rFonts w:ascii="Wingdings" w:hAnsi="Wingdings" w:cs="Wingdings" w:hint="default"/>
      </w:rPr>
    </w:lvl>
    <w:lvl w:ilvl="4">
      <w:start w:val="1"/>
      <w:numFmt w:val="bullet"/>
      <w:lvlText w:val=""/>
      <w:lvlJc w:val="start"/>
      <w:pPr>
        <w:tabs>
          <w:tab w:val="num" w:pos="2160"/>
        </w:tabs>
        <w:ind w:start="2160" w:hanging="360"/>
      </w:pPr>
      <w:rPr>
        <w:rFonts w:ascii="Wingdings" w:hAnsi="Wingdings" w:cs="Wingdings" w:hint="default"/>
      </w:rPr>
    </w:lvl>
    <w:lvl w:ilvl="5">
      <w:start w:val="1"/>
      <w:numFmt w:val="bullet"/>
      <w:lvlText w:val=""/>
      <w:lvlJc w:val="start"/>
      <w:pPr>
        <w:tabs>
          <w:tab w:val="num" w:pos="2520"/>
        </w:tabs>
        <w:ind w:start="2520" w:hanging="360"/>
      </w:pPr>
      <w:rPr>
        <w:rFonts w:ascii="Wingdings" w:hAnsi="Wingdings" w:cs="Wingdings" w:hint="default"/>
      </w:rPr>
    </w:lvl>
    <w:lvl w:ilvl="6">
      <w:start w:val="1"/>
      <w:numFmt w:val="bullet"/>
      <w:lvlText w:val=""/>
      <w:lvlJc w:val="start"/>
      <w:pPr>
        <w:tabs>
          <w:tab w:val="num" w:pos="2880"/>
        </w:tabs>
        <w:ind w:start="2880" w:hanging="360"/>
      </w:pPr>
      <w:rPr>
        <w:rFonts w:ascii="Wingdings" w:hAnsi="Wingdings" w:cs="Wingdings" w:hint="default"/>
      </w:rPr>
    </w:lvl>
    <w:lvl w:ilvl="7">
      <w:start w:val="1"/>
      <w:numFmt w:val="bullet"/>
      <w:lvlText w:val=""/>
      <w:lvlJc w:val="start"/>
      <w:pPr>
        <w:tabs>
          <w:tab w:val="num" w:pos="3240"/>
        </w:tabs>
        <w:ind w:start="3240" w:hanging="360"/>
      </w:pPr>
      <w:rPr>
        <w:rFonts w:ascii="Wingdings" w:hAnsi="Wingdings" w:cs="Wingdings" w:hint="default"/>
      </w:rPr>
    </w:lvl>
    <w:lvl w:ilvl="8">
      <w:start w:val="1"/>
      <w:numFmt w:val="bullet"/>
      <w:lvlText w:val=""/>
      <w:lvlJc w:val="start"/>
      <w:pPr>
        <w:tabs>
          <w:tab w:val="num" w:pos="3600"/>
        </w:tabs>
        <w:ind w:start="3600" w:hanging="360"/>
      </w:pPr>
      <w:rPr>
        <w:rFonts w:ascii="Wingdings" w:hAnsi="Wingdings" w:cs="Wingdings" w:hint="default"/>
      </w:rPr>
    </w:lvl>
  </w:abstractNum>
  <w:abstractNum w:abstractNumId="2">
    <w:lvl w:ilvl="0">
      <w:start w:val="1"/>
      <w:numFmt w:val="bullet"/>
      <w:lvlText w:val=""/>
      <w:lvlJc w:val="start"/>
      <w:pPr>
        <w:tabs>
          <w:tab w:val="num" w:pos="720"/>
        </w:tabs>
        <w:ind w:start="720" w:hanging="360"/>
      </w:pPr>
      <w:rPr>
        <w:rFonts w:ascii="Wingdings" w:hAnsi="Wingdings" w:cs="Wingdings" w:hint="default"/>
      </w:rPr>
    </w:lvl>
    <w:lvl w:ilvl="1">
      <w:start w:val="1"/>
      <w:numFmt w:val="bullet"/>
      <w:lvlText w:val=""/>
      <w:lvlJc w:val="start"/>
      <w:pPr>
        <w:tabs>
          <w:tab w:val="num" w:pos="1080"/>
        </w:tabs>
        <w:ind w:start="1080" w:hanging="360"/>
      </w:pPr>
      <w:rPr>
        <w:rFonts w:ascii="Wingdings" w:hAnsi="Wingdings" w:cs="Wingdings" w:hint="default"/>
      </w:rPr>
    </w:lvl>
    <w:lvl w:ilvl="2">
      <w:start w:val="1"/>
      <w:numFmt w:val="bullet"/>
      <w:lvlText w:val=""/>
      <w:lvlJc w:val="start"/>
      <w:pPr>
        <w:tabs>
          <w:tab w:val="num" w:pos="1440"/>
        </w:tabs>
        <w:ind w:start="1440" w:hanging="360"/>
      </w:pPr>
      <w:rPr>
        <w:rFonts w:ascii="Wingdings" w:hAnsi="Wingdings" w:cs="Wingdings" w:hint="default"/>
      </w:rPr>
    </w:lvl>
    <w:lvl w:ilvl="3">
      <w:start w:val="1"/>
      <w:numFmt w:val="bullet"/>
      <w:lvlText w:val=""/>
      <w:lvlJc w:val="start"/>
      <w:pPr>
        <w:tabs>
          <w:tab w:val="num" w:pos="1800"/>
        </w:tabs>
        <w:ind w:start="1800" w:hanging="360"/>
      </w:pPr>
      <w:rPr>
        <w:rFonts w:ascii="Wingdings" w:hAnsi="Wingdings" w:cs="Wingdings" w:hint="default"/>
      </w:rPr>
    </w:lvl>
    <w:lvl w:ilvl="4">
      <w:start w:val="1"/>
      <w:numFmt w:val="bullet"/>
      <w:lvlText w:val=""/>
      <w:lvlJc w:val="start"/>
      <w:pPr>
        <w:tabs>
          <w:tab w:val="num" w:pos="2160"/>
        </w:tabs>
        <w:ind w:start="2160" w:hanging="360"/>
      </w:pPr>
      <w:rPr>
        <w:rFonts w:ascii="Wingdings" w:hAnsi="Wingdings" w:cs="Wingdings" w:hint="default"/>
      </w:rPr>
    </w:lvl>
    <w:lvl w:ilvl="5">
      <w:start w:val="1"/>
      <w:numFmt w:val="bullet"/>
      <w:lvlText w:val=""/>
      <w:lvlJc w:val="start"/>
      <w:pPr>
        <w:tabs>
          <w:tab w:val="num" w:pos="2520"/>
        </w:tabs>
        <w:ind w:start="2520" w:hanging="360"/>
      </w:pPr>
      <w:rPr>
        <w:rFonts w:ascii="Wingdings" w:hAnsi="Wingdings" w:cs="Wingdings" w:hint="default"/>
      </w:rPr>
    </w:lvl>
    <w:lvl w:ilvl="6">
      <w:start w:val="1"/>
      <w:numFmt w:val="bullet"/>
      <w:lvlText w:val=""/>
      <w:lvlJc w:val="start"/>
      <w:pPr>
        <w:tabs>
          <w:tab w:val="num" w:pos="2880"/>
        </w:tabs>
        <w:ind w:start="2880" w:hanging="360"/>
      </w:pPr>
      <w:rPr>
        <w:rFonts w:ascii="Wingdings" w:hAnsi="Wingdings" w:cs="Wingdings" w:hint="default"/>
      </w:rPr>
    </w:lvl>
    <w:lvl w:ilvl="7">
      <w:start w:val="1"/>
      <w:numFmt w:val="bullet"/>
      <w:lvlText w:val=""/>
      <w:lvlJc w:val="start"/>
      <w:pPr>
        <w:tabs>
          <w:tab w:val="num" w:pos="3240"/>
        </w:tabs>
        <w:ind w:start="3240" w:hanging="360"/>
      </w:pPr>
      <w:rPr>
        <w:rFonts w:ascii="Wingdings" w:hAnsi="Wingdings" w:cs="Wingdings" w:hint="default"/>
      </w:rPr>
    </w:lvl>
    <w:lvl w:ilvl="8">
      <w:start w:val="1"/>
      <w:numFmt w:val="bullet"/>
      <w:lvlText w:val=""/>
      <w:lvlJc w:val="start"/>
      <w:pPr>
        <w:tabs>
          <w:tab w:val="num" w:pos="3600"/>
        </w:tabs>
        <w:ind w:start="3600" w:hanging="360"/>
      </w:pPr>
      <w:rPr>
        <w:rFonts w:ascii="Wingdings" w:hAnsi="Wingdings" w:cs="Wingdings" w:hint="default"/>
      </w:rPr>
    </w:lvl>
  </w:abstractNum>
  <w:abstractNum w:abstractNumId="3">
    <w:lvl w:ilvl="0">
      <w:start w:val="1"/>
      <w:numFmt w:val="bullet"/>
      <w:lvlText w:val=""/>
      <w:lvlJc w:val="start"/>
      <w:pPr>
        <w:tabs>
          <w:tab w:val="num" w:pos="720"/>
        </w:tabs>
        <w:ind w:start="720" w:hanging="360"/>
      </w:pPr>
      <w:rPr>
        <w:rFonts w:ascii="Wingdings" w:hAnsi="Wingdings" w:cs="Wingdings"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10"/>
  <w:trackRevisions/>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fr-FR"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start"/>
    </w:pPr>
    <w:rPr>
      <w:rFonts w:ascii="Liberation Serif" w:hAnsi="Liberation Serif" w:eastAsia="Noto Serif CJK SC" w:cs="Noto Sans Devanagari"/>
      <w:color w:val="auto"/>
      <w:kern w:val="2"/>
      <w:sz w:val="24"/>
      <w:szCs w:val="24"/>
      <w:lang w:val="fr-FR" w:eastAsia="zh-CN" w:bidi="hi-IN"/>
    </w:rPr>
  </w:style>
  <w:style w:type="character" w:styleId="Hyperlink">
    <w:name w:val="Hyperlink"/>
    <w:rPr>
      <w:color w:val="000080"/>
      <w:u w:val="single"/>
    </w:rPr>
  </w:style>
  <w:style w:type="character" w:styleId="Bullets">
    <w:name w:val="Bullets"/>
    <w:qFormat/>
    <w:rPr>
      <w:rFonts w:ascii="OpenSymbol" w:hAnsi="OpenSymbol" w:eastAsia="OpenSymbol" w:cs="OpenSymbol"/>
    </w:rPr>
  </w:style>
  <w:style w:type="character" w:styleId="Strong">
    <w:name w:val="Strong"/>
    <w:qFormat/>
    <w:rPr>
      <w:b/>
      <w:bCs/>
    </w:rPr>
  </w:style>
  <w:style w:type="character" w:styleId="LineNumber">
    <w:name w:val="Line Number"/>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Footer">
    <w:name w:val="Footer"/>
    <w:basedOn w:val="HeaderandFooter"/>
    <w:pPr>
      <w:suppressLineNumbers/>
    </w:pPr>
    <w:rPr/>
  </w:style>
  <w:style w:type="paragraph" w:styleId="Comment">
    <w:name w:val="Comment"/>
    <w:basedOn w:val="Normal"/>
    <w:qFormat/>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fidh.org/en/region/europe-central-asia/france/public-freedoms-in-danger-alarm-over-repression-in-france" TargetMode="External"/><Relationship Id="rId4" Type="http://schemas.openxmlformats.org/officeDocument/2006/relationships/hyperlink" Target="mailto:ecrespi@fidh.org" TargetMode="External"/><Relationship Id="rId5" Type="http://schemas.openxmlformats.org/officeDocument/2006/relationships/hyperlink" Target="mailto:mlesireschweitzer@fidh.org" TargetMode="Externa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88</TotalTime>
  <Application>LibreOffice/24.2.7.2$Linux_X86_64 LibreOffice_project/420$Build-2</Application>
  <AppVersion>15.0000</AppVersion>
  <Pages>5</Pages>
  <Words>1243</Words>
  <Characters>7405</Characters>
  <CharactersWithSpaces>8594</CharactersWithSpaces>
  <Paragraphs>64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2026-08-26T17:12:35Z</dcterms:created>
  <dc:creator>Maria Lesire</dc:creator>
  <dc:description/>
  <dc:language>en-US</dc:language>
  <cp:lastModifiedBy>Maria Lesire</cp:lastModifiedBy>
  <dcterms:modified xsi:type="dcterms:W3CDTF">2026-09-15T15:53:20Z</dcterms:modified>
  <cp:revision>21</cp:revision>
  <dc:subject/>
  <dc:title/>
</cp:coreProperties>
</file>

<file path=docProps/custom.xml><?xml version="1.0" encoding="utf-8"?>
<Properties xmlns="http://schemas.openxmlformats.org/officeDocument/2006/custom-properties" xmlns:vt="http://schemas.openxmlformats.org/officeDocument/2006/docPropsVTypes"/>
</file>