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before="0" w:line="240" w:lineRule="auto"/>
        <w:contextualSpacing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Times New Roman" w:cs="Times New Roman" w:eastAsia="Times New Roman" w:hAnsi="Times New Roman"/>
          <w:b w:val="1"/>
          <w:color w:val="000000"/>
          <w:sz w:val="24"/>
          <w:szCs w:val="24"/>
          <w:rtl w:val="0"/>
        </w:rPr>
        <w:t xml:space="preserve">ESCR-Net and FIDH</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Times New Roman" w:cs="Times New Roman" w:eastAsia="Times New Roman" w:hAnsi="Times New Roman"/>
          <w:b w:val="1"/>
          <w:color w:val="000000"/>
          <w:sz w:val="24"/>
          <w:szCs w:val="24"/>
          <w:rtl w:val="0"/>
        </w:rPr>
        <w:t xml:space="preserve">co-sponsored by CIEL, ISHR, AWID, PODER, WILPF</w:t>
      </w: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color w:val="000000"/>
          <w:sz w:val="24"/>
          <w:szCs w:val="24"/>
          <w:rtl w:val="0"/>
        </w:rPr>
        <w:t xml:space="preserve">3rd Session of the IGWG, 23-27 October 2017</w:t>
      </w:r>
      <w:r w:rsidDel="00000000" w:rsidR="00000000" w:rsidRPr="00000000">
        <w:rPr>
          <w:rtl w:val="0"/>
        </w:rPr>
      </w:r>
    </w:p>
    <w:p w:rsidR="00000000" w:rsidDel="00000000" w:rsidP="00000000" w:rsidRDefault="00000000" w:rsidRPr="00000000">
      <w:pPr>
        <w:spacing w:after="0" w:before="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Times New Roman" w:cs="Times New Roman" w:eastAsia="Times New Roman" w:hAnsi="Times New Roman"/>
          <w:b w:val="1"/>
          <w:color w:val="000000"/>
          <w:sz w:val="24"/>
          <w:szCs w:val="24"/>
          <w:rtl w:val="0"/>
        </w:rPr>
        <w:t xml:space="preserve">Side Event – Concept Note </w:t>
      </w:r>
      <w:r w:rsidDel="00000000" w:rsidR="00000000" w:rsidRPr="00000000">
        <w:rPr>
          <w:rtl w:val="0"/>
        </w:rPr>
      </w:r>
    </w:p>
    <w:p w:rsidR="00000000" w:rsidDel="00000000" w:rsidP="00000000" w:rsidRDefault="00000000" w:rsidRPr="00000000">
      <w:pPr>
        <w:spacing w:after="0" w:before="0" w:line="240" w:lineRule="auto"/>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rFonts w:ascii="Times New Roman" w:cs="Times New Roman" w:eastAsia="Times New Roman" w:hAnsi="Times New Roman"/>
          <w:b w:val="0"/>
          <w:sz w:val="24"/>
          <w:szCs w:val="24"/>
          <w:rtl w:val="0"/>
        </w:rPr>
        <w:t xml:space="preserve">Wednesday 25 October  - 13.00-15.00</w:t>
      </w:r>
      <w:r w:rsidDel="00000000" w:rsidR="00000000" w:rsidRPr="00000000">
        <w:rPr>
          <w:rtl w:val="0"/>
        </w:rPr>
      </w:r>
    </w:p>
    <w:p w:rsidR="00000000" w:rsidDel="00000000" w:rsidP="00000000" w:rsidRDefault="00000000" w:rsidRPr="00000000">
      <w:pPr>
        <w:spacing w:line="240" w:lineRule="auto"/>
        <w:contextualSpacing w:val="0"/>
        <w:jc w:val="center"/>
        <w:rPr>
          <w:b w:val="0"/>
        </w:rPr>
      </w:pPr>
      <w:r w:rsidDel="00000000" w:rsidR="00000000" w:rsidRPr="00000000">
        <w:rPr>
          <w:rFonts w:ascii="Times New Roman" w:cs="Times New Roman" w:eastAsia="Times New Roman" w:hAnsi="Times New Roman"/>
          <w:b w:val="0"/>
          <w:sz w:val="24"/>
          <w:szCs w:val="24"/>
          <w:rtl w:val="0"/>
        </w:rPr>
        <w:t xml:space="preserve">Room XXII, </w:t>
      </w:r>
      <w:r w:rsidDel="00000000" w:rsidR="00000000" w:rsidRPr="00000000">
        <w:rPr>
          <w:rFonts w:ascii="Times New Roman" w:cs="Times New Roman" w:eastAsia="Times New Roman" w:hAnsi="Times New Roman"/>
          <w:b w:val="0"/>
          <w:color w:val="000000"/>
          <w:sz w:val="24"/>
          <w:szCs w:val="24"/>
          <w:rtl w:val="0"/>
        </w:rPr>
        <w:t xml:space="preserve">Palais des Nations UN</w:t>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u w:val="single"/>
          <w:rtl w:val="0"/>
        </w:rPr>
        <w:t xml:space="preserve">Title</w:t>
      </w:r>
      <w:r w:rsidDel="00000000" w:rsidR="00000000" w:rsidRPr="00000000">
        <w:rPr>
          <w:rFonts w:ascii="Times New Roman" w:cs="Times New Roman" w:eastAsia="Times New Roman" w:hAnsi="Times New Roman"/>
          <w:b w:val="1"/>
          <w:color w:val="000000"/>
          <w:sz w:val="24"/>
          <w:szCs w:val="24"/>
          <w:rtl w:val="0"/>
        </w:rPr>
        <w:t xml:space="preserve"> :  The cost of impunity : The cross-regional fight of affected communities and human rights defenders for effective remedies</w:t>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third session of the IGWG is a turning point in the negotiation process to adopt a strong international legally binding instrument to regulate the activities of corporations and achieve a historical step towards global justice. Building on their previous and ongoing contribution, ESCR-Net and FIDH propose the organization of a side event during the third session of the IGWG in October 2017 to highlight key issues of the debate.</w:t>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Following the Resolution 26/9 creating the IGWG, ESCR-Net and FIDH started the Treaty Initiative project, a two-year project aimed at establishing concrete legal proposals for the Treaty starting from priorities on the ground. Based on worldwide consultations in Asia Pacific, Africa and the Middle East, Latin America and online with activists, academics, groups representing affected people and others in civil society, the Legal Group composed of international legal practitioners came up with Ten Key Proposals for the Treaty, a legal resource aimed to support advocacy efforts, which was presented in the second session of the Working Group.</w:t>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pPr>
      <w:r w:rsidDel="00000000" w:rsidR="00000000" w:rsidRPr="00000000">
        <w:rPr>
          <w:rFonts w:ascii="Times New Roman" w:cs="Times New Roman" w:eastAsia="Times New Roman" w:hAnsi="Times New Roman"/>
          <w:color w:val="000000"/>
          <w:sz w:val="24"/>
          <w:szCs w:val="24"/>
          <w:rtl w:val="0"/>
        </w:rPr>
        <w:t xml:space="preserve">Given the great remaining challenges for Human Rights Defenders and affected communities to access remedy, the side event will take on this occasion to bring experiences of defenders from different regions in order to demonstrate the need for specific language in the treaty that could address the risks and challenges faced by defenders on the ground.</w:t>
      </w:r>
      <w:r w:rsidDel="00000000" w:rsidR="00000000" w:rsidRPr="00000000">
        <w:rPr>
          <w:rtl w:val="0"/>
        </w:rPr>
      </w:r>
    </w:p>
    <w:p w:rsidR="00000000" w:rsidDel="00000000" w:rsidP="00000000" w:rsidRDefault="00000000" w:rsidRPr="00000000">
      <w:pPr>
        <w:spacing w:after="24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Objectives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jc w:val="both"/>
        <w:rPr/>
      </w:pPr>
      <w:r w:rsidDel="00000000" w:rsidR="00000000" w:rsidRPr="00000000">
        <w:rPr>
          <w:rFonts w:ascii="Times New Roman" w:cs="Times New Roman" w:eastAsia="Times New Roman" w:hAnsi="Times New Roman"/>
          <w:color w:val="000000"/>
          <w:sz w:val="24"/>
          <w:szCs w:val="24"/>
          <w:highlight w:val="white"/>
          <w:rtl w:val="0"/>
        </w:rPr>
        <w:t xml:space="preserve">The event will bring together Human Rights Defenders members of ESCR-Net and FIDH from different regions, and legal experts that participated on the treaty initiative to discuss the stakes of the third session. The aim of this workshop will be to reflect on Ecuador draft proposal for the elements of a Treaty and compare it to the Ten Key Proposals for the Treaty, and discuss on advocacy priorities and strategy.</w:t>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pPr>
      <w:r w:rsidDel="00000000" w:rsidR="00000000" w:rsidRPr="00000000">
        <w:rPr>
          <w:rFonts w:ascii="Times New Roman" w:cs="Times New Roman" w:eastAsia="Times New Roman" w:hAnsi="Times New Roman"/>
          <w:color w:val="000000"/>
          <w:sz w:val="24"/>
          <w:szCs w:val="24"/>
          <w:highlight w:val="white"/>
          <w:rtl w:val="0"/>
        </w:rPr>
        <w:t xml:space="preserve">In particular, the side event will focus on two key priorities areas underlined in the 10 Key Proposals that are considered crucial for Human Rights Defenders and highly relevant for the future binding instrument:</w:t>
      </w:r>
      <w:r w:rsidDel="00000000" w:rsidR="00000000" w:rsidRPr="00000000">
        <w:rPr>
          <w:rtl w:val="0"/>
        </w:rPr>
      </w:r>
    </w:p>
    <w:p w:rsidR="00000000" w:rsidDel="00000000" w:rsidP="00000000" w:rsidRDefault="00000000" w:rsidRPr="00000000">
      <w:pPr>
        <w:numPr>
          <w:ilvl w:val="1"/>
          <w:numId w:val="3"/>
        </w:numPr>
        <w:shd w:fill="ffffff" w:val="clear"/>
        <w:spacing w:after="0" w:before="0" w:line="276" w:lineRule="auto"/>
        <w:ind w:left="1440" w:hanging="360"/>
        <w:contextualSpacing w:val="0"/>
        <w:jc w:val="both"/>
        <w:rPr/>
      </w:pPr>
      <w:r w:rsidDel="00000000" w:rsidR="00000000" w:rsidRPr="00000000">
        <w:rPr>
          <w:rFonts w:ascii="Times New Roman" w:cs="Times New Roman" w:eastAsia="Times New Roman" w:hAnsi="Times New Roman"/>
          <w:b w:val="1"/>
          <w:color w:val="000000"/>
          <w:sz w:val="24"/>
          <w:szCs w:val="24"/>
          <w:highlight w:val="white"/>
          <w:rtl w:val="0"/>
        </w:rPr>
        <w:t xml:space="preserve">Key Proposal 9 and 10</w:t>
      </w:r>
      <w:r w:rsidDel="00000000" w:rsidR="00000000" w:rsidRPr="00000000">
        <w:rPr>
          <w:rFonts w:ascii="Times New Roman" w:cs="Times New Roman" w:eastAsia="Times New Roman" w:hAnsi="Times New Roman"/>
          <w:color w:val="000000"/>
          <w:sz w:val="24"/>
          <w:szCs w:val="24"/>
          <w:highlight w:val="white"/>
          <w:rtl w:val="0"/>
        </w:rPr>
        <w:t xml:space="preserve">. effective Remedies and Remedial Mechanisms</w:t>
      </w:r>
      <w:r w:rsidDel="00000000" w:rsidR="00000000" w:rsidRPr="00000000">
        <w:rPr>
          <w:rtl w:val="0"/>
        </w:rPr>
      </w:r>
    </w:p>
    <w:p w:rsidR="00000000" w:rsidDel="00000000" w:rsidP="00000000" w:rsidRDefault="00000000" w:rsidRPr="00000000">
      <w:pPr>
        <w:numPr>
          <w:ilvl w:val="1"/>
          <w:numId w:val="3"/>
        </w:numPr>
        <w:shd w:fill="ffffff" w:val="clear"/>
        <w:spacing w:after="0" w:before="0" w:line="276" w:lineRule="auto"/>
        <w:ind w:left="1440" w:hanging="360"/>
        <w:contextualSpacing w:val="0"/>
        <w:rPr/>
      </w:pPr>
      <w:r w:rsidDel="00000000" w:rsidR="00000000" w:rsidRPr="00000000">
        <w:rPr>
          <w:rFonts w:ascii="Times New Roman" w:cs="Times New Roman" w:eastAsia="Times New Roman" w:hAnsi="Times New Roman"/>
          <w:b w:val="1"/>
          <w:color w:val="000000"/>
          <w:sz w:val="24"/>
          <w:szCs w:val="24"/>
          <w:highlight w:val="white"/>
          <w:rtl w:val="0"/>
        </w:rPr>
        <w:t xml:space="preserve">Key Proposal 7</w:t>
      </w:r>
      <w:r w:rsidDel="00000000" w:rsidR="00000000" w:rsidRPr="00000000">
        <w:rPr>
          <w:rFonts w:ascii="Times New Roman" w:cs="Times New Roman" w:eastAsia="Times New Roman" w:hAnsi="Times New Roman"/>
          <w:color w:val="000000"/>
          <w:sz w:val="24"/>
          <w:szCs w:val="24"/>
          <w:highlight w:val="white"/>
          <w:rtl w:val="0"/>
        </w:rPr>
        <w:t xml:space="preserve">. Extra territorial obligations</w:t>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pPr>
      <w:r w:rsidDel="00000000" w:rsidR="00000000" w:rsidRPr="00000000">
        <w:rPr>
          <w:rFonts w:ascii="Times New Roman" w:cs="Times New Roman" w:eastAsia="Times New Roman" w:hAnsi="Times New Roman"/>
          <w:color w:val="000000"/>
          <w:sz w:val="24"/>
          <w:szCs w:val="24"/>
          <w:highlight w:val="white"/>
          <w:rtl w:val="0"/>
        </w:rPr>
        <w:t xml:space="preserve">From this proposal, the panelists will:</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color w:val="000000"/>
          <w:u w:val="none"/>
        </w:rPr>
      </w:pPr>
      <w:r w:rsidDel="00000000" w:rsidR="00000000" w:rsidRPr="00000000">
        <w:rPr>
          <w:rFonts w:ascii="Times New Roman" w:cs="Times New Roman" w:eastAsia="Times New Roman" w:hAnsi="Times New Roman"/>
          <w:color w:val="000000"/>
          <w:sz w:val="24"/>
          <w:szCs w:val="24"/>
          <w:rtl w:val="0"/>
        </w:rPr>
        <w:t xml:space="preserve">Point out the main challenges faced by human rights defenders to access remedy;</w:t>
      </w:r>
      <w:r w:rsidDel="00000000" w:rsidR="00000000" w:rsidRPr="00000000">
        <w:rPr>
          <w:rFonts w:ascii="Arial" w:cs="Arial" w:eastAsia="Arial" w:hAnsi="Arial"/>
          <w:color w:val="000000"/>
          <w:rtl w:val="0"/>
        </w:rPr>
        <w:tab/>
      </w:r>
    </w:p>
    <w:p w:rsidR="00000000" w:rsidDel="00000000" w:rsidP="00000000" w:rsidRDefault="00000000" w:rsidRPr="00000000">
      <w:pPr>
        <w:numPr>
          <w:ilvl w:val="0"/>
          <w:numId w:val="1"/>
        </w:numPr>
        <w:spacing w:after="0" w:before="0" w:line="276" w:lineRule="auto"/>
        <w:ind w:left="720" w:hanging="360"/>
        <w:contextualSpacing w:val="1"/>
        <w:jc w:val="both"/>
        <w:rPr>
          <w:color w:val="000000"/>
          <w:u w:val="none"/>
        </w:rPr>
      </w:pPr>
      <w:r w:rsidDel="00000000" w:rsidR="00000000" w:rsidRPr="00000000">
        <w:rPr>
          <w:rFonts w:ascii="Times New Roman" w:cs="Times New Roman" w:eastAsia="Times New Roman" w:hAnsi="Times New Roman"/>
          <w:color w:val="000000"/>
          <w:sz w:val="24"/>
          <w:szCs w:val="24"/>
          <w:rtl w:val="0"/>
        </w:rPr>
        <w:t xml:space="preserve">Underline the need for specific language addressing the needs of human rights defenders on the ground to be included in the treaty; </w:t>
      </w:r>
      <w:r w:rsidDel="00000000" w:rsidR="00000000" w:rsidRPr="00000000">
        <w:rPr>
          <w:rFonts w:ascii="Arial" w:cs="Arial" w:eastAsia="Arial" w:hAnsi="Arial"/>
          <w:color w:val="000000"/>
          <w:rtl w:val="0"/>
        </w:rPr>
        <w:tab/>
      </w:r>
    </w:p>
    <w:p w:rsidR="00000000" w:rsidDel="00000000" w:rsidP="00000000" w:rsidRDefault="00000000" w:rsidRPr="00000000">
      <w:pPr>
        <w:numPr>
          <w:ilvl w:val="0"/>
          <w:numId w:val="1"/>
        </w:numPr>
        <w:spacing w:after="0" w:before="0" w:line="276" w:lineRule="auto"/>
        <w:ind w:left="720" w:hanging="360"/>
        <w:contextualSpacing w:val="1"/>
        <w:jc w:val="both"/>
        <w:rPr>
          <w:color w:val="000000"/>
          <w:u w:val="none"/>
        </w:rPr>
      </w:pPr>
      <w:r w:rsidDel="00000000" w:rsidR="00000000" w:rsidRPr="00000000">
        <w:rPr>
          <w:rFonts w:ascii="Times New Roman" w:cs="Times New Roman" w:eastAsia="Times New Roman" w:hAnsi="Times New Roman"/>
          <w:color w:val="000000"/>
          <w:sz w:val="24"/>
          <w:szCs w:val="24"/>
          <w:rtl w:val="0"/>
        </w:rPr>
        <w:t xml:space="preserve">Provide data on the cost of impunity (number of attacks or assassinations of HRD in the different regions) and state that this cost is barred by both the States where attacks occur but also States where companies are based and which do not provide adequate access to remedy (ETOs);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color w:val="000000"/>
          <w:u w:val="none"/>
        </w:rPr>
      </w:pPr>
      <w:r w:rsidDel="00000000" w:rsidR="00000000" w:rsidRPr="00000000">
        <w:rPr>
          <w:rFonts w:ascii="Times New Roman" w:cs="Times New Roman" w:eastAsia="Times New Roman" w:hAnsi="Times New Roman"/>
          <w:color w:val="000000"/>
          <w:sz w:val="24"/>
          <w:szCs w:val="24"/>
          <w:highlight w:val="white"/>
          <w:rtl w:val="0"/>
        </w:rPr>
        <w:t xml:space="preserve">Bring together the voices of defenders from different regions to highlight the transversal nature of this issue. </w:t>
      </w:r>
      <w:r w:rsidDel="00000000" w:rsidR="00000000" w:rsidRPr="00000000">
        <w:rPr>
          <w:rFonts w:ascii="Arial" w:cs="Arial" w:eastAsia="Arial" w:hAnsi="Arial"/>
          <w:color w:val="000000"/>
          <w:highlight w:val="white"/>
          <w:rtl w:val="0"/>
        </w:rPr>
        <w:tab/>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 outcome of the event would be a concrete proposal for the Treaty.</w:t>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Structure/Methodology of the event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event will be structured as a panel in which Human Rights Defenders from different regions (Asia, Africa and Americas) will point out main challenges they face in their struggle for accountability and remedy, as well as the political dimension of the increasingly critical situation faced by Human Rights Defenders : </w:t>
      </w:r>
    </w:p>
    <w:p w:rsidR="00000000" w:rsidDel="00000000" w:rsidP="00000000" w:rsidRDefault="00000000" w:rsidRPr="00000000">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Debbie Stothard</w:t>
      </w:r>
      <w:r w:rsidDel="00000000" w:rsidR="00000000" w:rsidRPr="00000000">
        <w:rPr>
          <w:rFonts w:ascii="Times New Roman" w:cs="Times New Roman" w:eastAsia="Times New Roman" w:hAnsi="Times New Roman"/>
          <w:color w:val="000000"/>
          <w:sz w:val="24"/>
          <w:szCs w:val="24"/>
          <w:rtl w:val="0"/>
        </w:rPr>
        <w:t xml:space="preserve">, ASEAN Burma, Women HRD in Asia</w:t>
      </w:r>
    </w:p>
    <w:p w:rsidR="00000000" w:rsidDel="00000000" w:rsidP="00000000" w:rsidRDefault="00000000" w:rsidRPr="00000000">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Legborsi Saro Pyagbara</w:t>
      </w:r>
      <w:r w:rsidDel="00000000" w:rsidR="00000000" w:rsidRPr="00000000">
        <w:rPr>
          <w:rFonts w:ascii="Times New Roman" w:cs="Times New Roman" w:eastAsia="Times New Roman" w:hAnsi="Times New Roman"/>
          <w:color w:val="000000"/>
          <w:sz w:val="24"/>
          <w:szCs w:val="24"/>
          <w:rtl w:val="0"/>
        </w:rPr>
        <w:t xml:space="preserve">, MOSOP Nigeria, Land and environmental defenders in Africa</w:t>
      </w:r>
    </w:p>
    <w:p w:rsidR="00000000" w:rsidDel="00000000" w:rsidP="00000000" w:rsidRDefault="00000000" w:rsidRPr="00000000">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Gustavo Castro</w:t>
      </w:r>
      <w:r w:rsidDel="00000000" w:rsidR="00000000" w:rsidRPr="00000000">
        <w:rPr>
          <w:rFonts w:ascii="Times New Roman" w:cs="Times New Roman" w:eastAsia="Times New Roman" w:hAnsi="Times New Roman"/>
          <w:color w:val="000000"/>
          <w:sz w:val="24"/>
          <w:szCs w:val="24"/>
          <w:rtl w:val="0"/>
        </w:rPr>
        <w:t xml:space="preserve">, Otros Mundos, Mexico, political dimension of HRDs protection in Latin America</w:t>
      </w:r>
    </w:p>
    <w:p w:rsidR="00000000" w:rsidDel="00000000" w:rsidP="00000000" w:rsidRDefault="00000000" w:rsidRPr="00000000">
      <w:pPr>
        <w:spacing w:after="0" w:before="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 intervention from a more legal  perspective will, departing from the draft elements presented by Ecuador, translate those challenges into specific language that should be included in the binding instrument : </w:t>
      </w:r>
    </w:p>
    <w:p w:rsidR="00000000" w:rsidDel="00000000" w:rsidP="00000000" w:rsidRDefault="00000000" w:rsidRPr="00000000">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Maria-Isabel Cubides</w:t>
      </w:r>
      <w:r w:rsidDel="00000000" w:rsidR="00000000" w:rsidRPr="00000000">
        <w:rPr>
          <w:rFonts w:ascii="Times New Roman" w:cs="Times New Roman" w:eastAsia="Times New Roman" w:hAnsi="Times New Roman"/>
          <w:color w:val="000000"/>
          <w:sz w:val="24"/>
          <w:szCs w:val="24"/>
          <w:rtl w:val="0"/>
        </w:rPr>
        <w:t xml:space="preserve">, FIDH, Globalization and Human Rights Desk </w:t>
      </w:r>
    </w:p>
    <w:p w:rsidR="00000000" w:rsidDel="00000000" w:rsidP="00000000" w:rsidRDefault="00000000" w:rsidRPr="00000000">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Sarah Brooks</w:t>
      </w:r>
      <w:r w:rsidDel="00000000" w:rsidR="00000000" w:rsidRPr="00000000">
        <w:rPr>
          <w:rFonts w:ascii="Times New Roman" w:cs="Times New Roman" w:eastAsia="Times New Roman" w:hAnsi="Times New Roman"/>
          <w:color w:val="000000"/>
          <w:sz w:val="24"/>
          <w:szCs w:val="24"/>
          <w:rtl w:val="0"/>
        </w:rPr>
        <w:t xml:space="preserve">, ISHR, Programme manager for Asia and Migrant Rights Defenders </w:t>
      </w:r>
      <w:r w:rsidDel="00000000" w:rsidR="00000000" w:rsidRPr="00000000">
        <w:rPr>
          <w:rtl w:val="0"/>
        </w:rPr>
      </w:r>
    </w:p>
    <w:p w:rsidR="00000000" w:rsidDel="00000000" w:rsidP="00000000" w:rsidRDefault="00000000" w:rsidRPr="00000000">
      <w:pPr>
        <w:spacing w:after="0" w:line="276" w:lineRule="auto"/>
        <w:contextualSpacing w:val="0"/>
        <w:jc w:val="both"/>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rPr>
    </w:lvl>
    <w:lvl w:ilvl="1">
      <w:start w:val="1"/>
      <w:numFmt w:val="bullet"/>
      <w:lvlText w:val="o"/>
      <w:lvlJc w:val="left"/>
      <w:pPr>
        <w:ind w:left="1440" w:hanging="360"/>
      </w:pPr>
      <w:rPr>
        <w:sz w:val="24"/>
        <w:szCs w:val="24"/>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a"/>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