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both"/>
        <w:rPr>
          <w:rFonts w:ascii="Times New Roman" w:hAnsi="Times New Roman" w:eastAsia="Times New Roman" w:cs="Times New Roman"/>
          <w:b/>
          <w:b/>
          <w:bCs/>
          <w:sz w:val="24"/>
          <w:szCs w:val="24"/>
          <w:lang w:val="fr-FR"/>
        </w:rPr>
      </w:pPr>
      <w:r>
        <w:rPr>
          <w:rFonts w:eastAsia="Times New Roman" w:cs="Times New Roman" w:ascii="Times New Roman" w:hAnsi="Times New Roman"/>
          <w:b/>
          <w:bCs/>
          <w:sz w:val="24"/>
          <w:szCs w:val="24"/>
          <w:u w:val="single"/>
          <w:lang w:val="fr-FR"/>
        </w:rPr>
        <w:t>Objet:</w:t>
      </w:r>
      <w:r>
        <w:rPr>
          <w:rFonts w:eastAsia="Times New Roman" w:cs="Times New Roman" w:ascii="Times New Roman" w:hAnsi="Times New Roman"/>
          <w:b/>
          <w:bCs/>
          <w:sz w:val="24"/>
          <w:szCs w:val="24"/>
          <w:lang w:val="fr-FR"/>
        </w:rPr>
        <w:t xml:space="preserve"> 82 organisations Algériennes et internationales appellent les États à agir pour adresser l'escalade répressive dangereuse des autorités algériennes contre les forces pro-démocratique au cours de la 47</w:t>
      </w:r>
      <w:r>
        <w:rPr>
          <w:rFonts w:eastAsia="Times New Roman" w:cs="Times New Roman" w:ascii="Times New Roman" w:hAnsi="Times New Roman"/>
          <w:b/>
          <w:bCs/>
          <w:sz w:val="24"/>
          <w:szCs w:val="24"/>
          <w:vertAlign w:val="superscript"/>
          <w:lang w:val="fr-FR"/>
        </w:rPr>
        <w:t>ème</w:t>
      </w:r>
      <w:r>
        <w:rPr>
          <w:rFonts w:eastAsia="Times New Roman" w:cs="Times New Roman" w:ascii="Times New Roman" w:hAnsi="Times New Roman"/>
          <w:b/>
          <w:bCs/>
          <w:sz w:val="24"/>
          <w:szCs w:val="24"/>
          <w:lang w:val="fr-FR"/>
        </w:rPr>
        <w:t xml:space="preserve"> session du Conseil des Droits de l'Homme (CDH)</w:t>
      </w:r>
    </w:p>
    <w:p>
      <w:pPr>
        <w:pStyle w:val="Normal"/>
        <w:spacing w:before="240" w:after="240"/>
        <w:jc w:val="center"/>
        <w:rPr>
          <w:rFonts w:ascii="Times New Roman" w:hAnsi="Times New Roman" w:eastAsia="Times New Roman" w:cs="Times New Roman"/>
          <w:i/>
          <w:i/>
          <w:iCs/>
          <w:sz w:val="24"/>
          <w:szCs w:val="24"/>
          <w:lang w:val="fr-FR"/>
        </w:rPr>
      </w:pPr>
      <w:r>
        <w:rPr>
          <w:rFonts w:eastAsia="Times New Roman" w:cs="Times New Roman" w:ascii="Times New Roman" w:hAnsi="Times New Roman"/>
          <w:i/>
          <w:iCs/>
          <w:sz w:val="24"/>
          <w:szCs w:val="24"/>
          <w:lang w:val="fr-FR"/>
        </w:rPr>
        <w:t>La criminalisation incessante des libertés fondamentales justifie une réponse urgente</w:t>
      </w:r>
    </w:p>
    <w:p>
      <w:pPr>
        <w:pStyle w:val="Normal"/>
        <w:spacing w:before="240" w:after="240"/>
        <w:jc w:val="right"/>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28 mai 2021</w:t>
      </w:r>
    </w:p>
    <w:p>
      <w:pPr>
        <w:pStyle w:val="Normal"/>
        <w:spacing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Mesdames, Messieurs,</w:t>
      </w:r>
    </w:p>
    <w:p>
      <w:pPr>
        <w:pStyle w:val="Normal"/>
        <w:spacing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Nous, organisations non gouvernementales algériennes, régionales et internationales soussignées, exhortons votre gouvernement, individuellement et conjointement avec d'autres États, à adresser la répression alarmante contre les manifestant-e-s pacifiques, journalistes, la société civile, les défenseur-e-s des droits humains et syndicalistes algérien-ne-s lors du 47e Conseil des Droits de l'Homme des Nations Unies (CDH).</w:t>
      </w:r>
    </w:p>
    <w:p>
      <w:pPr>
        <w:pStyle w:val="Normal"/>
        <w:spacing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 niveau de répression a augmenté drastiquement et une position publique plus affirmée de la part des États est </w:t>
      </w:r>
      <w:hyperlink r:id="rId2">
        <w:r>
          <w:rPr>
            <w:rStyle w:val="LienInternet"/>
            <w:rFonts w:eastAsia="Times New Roman" w:cs="Times New Roman" w:ascii="Times New Roman" w:hAnsi="Times New Roman"/>
            <w:sz w:val="24"/>
            <w:szCs w:val="24"/>
            <w:lang w:val="fr-FR"/>
          </w:rPr>
          <w:t>cruciale</w:t>
        </w:r>
      </w:hyperlink>
      <w:r>
        <w:rPr>
          <w:rFonts w:eastAsia="Times New Roman" w:cs="Times New Roman" w:ascii="Times New Roman" w:hAnsi="Times New Roman"/>
          <w:sz w:val="24"/>
          <w:szCs w:val="24"/>
          <w:lang w:val="fr-FR"/>
        </w:rPr>
        <w:t xml:space="preserve"> pour protéger les Algérien-ne-s exerçant leur droit à la liberté d'expression, d'association et de réunion. </w:t>
      </w:r>
    </w:p>
    <w:p>
      <w:pPr>
        <w:pStyle w:val="Normal"/>
        <w:spacing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Nous vous exhortons, dans les points pertinents de l'ordre du jour tels que le dialogue interactif avec la Haute-Commissaire au point 2 ou les débats interactifs avec les Rapporteurs Spéciaux sur la liberté d'expression et la liberté d'association et de réunion pacifique au point 3, à :</w:t>
      </w:r>
    </w:p>
    <w:p>
      <w:pPr>
        <w:pStyle w:val="Normal"/>
        <w:numPr>
          <w:ilvl w:val="0"/>
          <w:numId w:val="1"/>
        </w:numPr>
        <w:shd w:val="clear" w:color="auto" w:fill="FFFFFF"/>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Condamner l'escalade de la répression contre les manifestant(e)s pacifiques, les journalistes et les défenseur(e)s des droits humains, notamment le recours excessif à la force, la dispersion forcée, l'intimidation des manifestant(e)s et les poursuites arbitraires incessantes, y compris pour de accusations fabriquées liées au terrorisme;</w:t>
      </w:r>
    </w:p>
    <w:p>
      <w:pPr>
        <w:pStyle w:val="Normal"/>
        <w:numPr>
          <w:ilvl w:val="0"/>
          <w:numId w:val="1"/>
        </w:numPr>
        <w:shd w:val="clear" w:color="auto" w:fill="FFFFFF"/>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Exhorter les autorités à mettre fin à toutes les arrestations et poursuites arbitraires et à libérer toutes les personnes détenues arbitrairement;</w:t>
      </w:r>
    </w:p>
    <w:p>
      <w:pPr>
        <w:pStyle w:val="Normal"/>
        <w:numPr>
          <w:ilvl w:val="0"/>
          <w:numId w:val="1"/>
        </w:numPr>
        <w:shd w:val="clear" w:color="auto" w:fill="FFFFFF"/>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Exiger des enquêtes rapides, indépendantes, impartiales et efficace sur les allégations de torture et autres mauvais traitements, y compris les allégations de violences physiques, sexuelles et psychologiques en détention et d'agressions physiques pendant les manifestations - pour garantir que les auteurs présumés soient tenus pour responsables dans le cadre de procès civils équitables;</w:t>
      </w:r>
    </w:p>
    <w:p>
      <w:pPr>
        <w:pStyle w:val="Normal"/>
        <w:numPr>
          <w:ilvl w:val="0"/>
          <w:numId w:val="1"/>
        </w:numPr>
        <w:shd w:val="clear" w:color="auto" w:fill="FFFFFF"/>
        <w:jc w:val="both"/>
        <w:rPr>
          <w:rFonts w:ascii="Times New Roman" w:hAnsi="Times New Roman" w:cs="Times New Roman" w:asciiTheme="majorBidi" w:cstheme="majorBidi" w:hAnsiTheme="majorBidi"/>
          <w:sz w:val="24"/>
          <w:szCs w:val="24"/>
          <w:lang w:val="fr-FR"/>
        </w:rPr>
      </w:pPr>
      <w:r>
        <w:rPr>
          <w:rFonts w:cs="Times New Roman" w:ascii="Times New Roman" w:hAnsi="Times New Roman" w:asciiTheme="majorBidi" w:cstheme="majorBidi" w:hAnsiTheme="majorBidi"/>
          <w:sz w:val="24"/>
          <w:szCs w:val="24"/>
          <w:lang w:val="fr-FR"/>
        </w:rPr>
        <w:t>Exhorter les autorités algériennes à modifier ou abroger les dispositions trop larges</w:t>
      </w:r>
      <w:r>
        <w:rPr>
          <w:rStyle w:val="Ancredenotedebasdepage"/>
          <w:rFonts w:cs="Times New Roman" w:ascii="Times New Roman" w:hAnsi="Times New Roman" w:asciiTheme="majorBidi" w:cstheme="majorBidi" w:hAnsiTheme="majorBidi"/>
          <w:sz w:val="24"/>
          <w:szCs w:val="24"/>
          <w:lang w:val="fr-FR"/>
        </w:rPr>
        <w:footnoteReference w:id="2"/>
      </w:r>
      <w:r>
        <w:rPr>
          <w:rFonts w:cs="Times New Roman" w:ascii="Times New Roman" w:hAnsi="Times New Roman" w:asciiTheme="majorBidi" w:cstheme="majorBidi" w:hAnsiTheme="majorBidi"/>
          <w:sz w:val="24"/>
          <w:szCs w:val="24"/>
          <w:lang w:val="fr-FR"/>
        </w:rPr>
        <w:t xml:space="preserve"> du Code pénal et autres lois utilisées pour réprimer les droits et libertés fondamentaux, notamment la loi 12-06 relative aux associations et la loi 91-19 sur les réunions et manifestations publiques, conformément au Pacte international relatif aux droits civils et politiques (PIDCP) et à la Charte africaine des droits de l'Homme et des peuples (CADHP).</w:t>
      </w:r>
    </w:p>
    <w:p>
      <w:pPr>
        <w:pStyle w:val="Normal"/>
        <w:shd w:val="clear" w:color="auto" w:fill="FFFFFF"/>
        <w:spacing w:before="0" w:after="240"/>
        <w:jc w:val="both"/>
        <w:rPr>
          <w:lang w:val="fr-FR"/>
        </w:rPr>
      </w:pPr>
      <w:r>
        <w:rPr>
          <w:lang w:val="fr-FR"/>
        </w:rPr>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Suite à la </w:t>
      </w:r>
      <w:hyperlink r:id="rId3">
        <w:r>
          <w:rPr>
            <w:rStyle w:val="LienInternet"/>
            <w:rFonts w:eastAsia="Times New Roman" w:cs="Times New Roman" w:ascii="Times New Roman" w:hAnsi="Times New Roman"/>
            <w:sz w:val="24"/>
            <w:szCs w:val="24"/>
            <w:lang w:val="fr-FR"/>
          </w:rPr>
          <w:t>reprise</w:t>
        </w:r>
      </w:hyperlink>
      <w:r>
        <w:rPr>
          <w:rFonts w:eastAsia="Times New Roman" w:cs="Times New Roman" w:ascii="Times New Roman" w:hAnsi="Times New Roman"/>
          <w:sz w:val="24"/>
          <w:szCs w:val="24"/>
          <w:lang w:val="fr-FR"/>
        </w:rPr>
        <w:t xml:space="preserve"> des manifestations pacifiques appelant à une véritable réforme démocratique (le «Hirak») en février 2021</w:t>
      </w:r>
      <w:r>
        <w:rPr>
          <w:rStyle w:val="Ancredenotedebasdepage"/>
          <w:rFonts w:eastAsia="Times New Roman" w:cs="Times New Roman" w:ascii="Times New Roman" w:hAnsi="Times New Roman"/>
          <w:sz w:val="24"/>
          <w:szCs w:val="24"/>
          <w:lang w:val="fr-FR"/>
        </w:rPr>
        <w:footnoteReference w:id="3"/>
      </w:r>
      <w:r>
        <w:rPr>
          <w:rFonts w:eastAsia="Times New Roman" w:cs="Times New Roman" w:ascii="Times New Roman" w:hAnsi="Times New Roman"/>
          <w:sz w:val="24"/>
          <w:szCs w:val="24"/>
          <w:lang w:val="fr-FR"/>
        </w:rPr>
        <w:t xml:space="preserve">, le gouvernement a lancé une nouvelle campagne d'arrestations et de harcèlement judiciaire. Selon des activistes locaux qui surveillent la situation sur le terrain, au 26 mai, </w:t>
      </w:r>
      <w:hyperlink r:id="rId4">
        <w:r>
          <w:rPr>
            <w:rStyle w:val="LienInternet"/>
            <w:rFonts w:eastAsia="Times New Roman" w:cs="Times New Roman" w:ascii="Times New Roman" w:hAnsi="Times New Roman"/>
            <w:sz w:val="24"/>
            <w:szCs w:val="24"/>
            <w:lang w:val="fr-FR"/>
          </w:rPr>
          <w:t>au moins 183 personnes</w:t>
        </w:r>
      </w:hyperlink>
      <w:r>
        <w:rPr>
          <w:rFonts w:eastAsia="Times New Roman" w:cs="Times New Roman" w:ascii="Times New Roman" w:hAnsi="Times New Roman"/>
          <w:sz w:val="24"/>
          <w:szCs w:val="24"/>
          <w:lang w:val="fr-FR"/>
        </w:rPr>
        <w:t xml:space="preserve"> sont détenues pour avoir exprimé leur point de vue en ligne ou pour avoir manifesté pacifiquement. 86 d'entre eux ont été condamné(e)s à des peines de prison entre le 16 et le 24 mai. Des </w:t>
      </w:r>
      <w:hyperlink r:id="rId5">
        <w:r>
          <w:rPr>
            <w:rStyle w:val="LienInternet"/>
            <w:rFonts w:eastAsia="Times New Roman" w:cs="Times New Roman" w:ascii="Times New Roman" w:hAnsi="Times New Roman"/>
            <w:sz w:val="24"/>
            <w:szCs w:val="24"/>
            <w:lang w:val="fr-FR"/>
          </w:rPr>
          <w:t>vidéos</w:t>
        </w:r>
      </w:hyperlink>
      <w:r>
        <w:rPr>
          <w:rFonts w:eastAsia="Times New Roman" w:cs="Times New Roman" w:ascii="Times New Roman" w:hAnsi="Times New Roman"/>
          <w:sz w:val="24"/>
          <w:szCs w:val="24"/>
          <w:lang w:val="fr-FR"/>
        </w:rPr>
        <w:t xml:space="preserve"> ont également montré que la police battait des manifestant-e-s. </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Malgré </w:t>
      </w:r>
      <w:hyperlink r:id="rId6">
        <w:r>
          <w:rPr>
            <w:rStyle w:val="LienInternet"/>
            <w:rFonts w:eastAsia="Times New Roman" w:cs="Times New Roman" w:ascii="Times New Roman" w:hAnsi="Times New Roman"/>
            <w:sz w:val="24"/>
            <w:szCs w:val="24"/>
            <w:lang w:val="fr-FR"/>
          </w:rPr>
          <w:t>l'annonce</w:t>
        </w:r>
      </w:hyperlink>
      <w:r>
        <w:rPr>
          <w:rFonts w:eastAsia="Times New Roman" w:cs="Times New Roman" w:ascii="Times New Roman" w:hAnsi="Times New Roman"/>
          <w:sz w:val="24"/>
          <w:szCs w:val="24"/>
          <w:lang w:val="fr-FR"/>
        </w:rPr>
        <w:t xml:space="preserve"> d'une grâce présidentielle pour une trentaine de détenus du Hirak le 18 février 2021, aucun décret de grâce présidentielle n'a été publié à ce jour. </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Au cours des deux derniers mois, des organisations algériennes et internationales ont condamné le </w:t>
      </w:r>
      <w:hyperlink r:id="rId7">
        <w:r>
          <w:rPr>
            <w:rStyle w:val="LienInternet"/>
            <w:rFonts w:eastAsia="Times New Roman" w:cs="Times New Roman" w:ascii="Times New Roman" w:hAnsi="Times New Roman"/>
            <w:sz w:val="24"/>
            <w:szCs w:val="24"/>
            <w:lang w:val="fr-FR"/>
          </w:rPr>
          <w:t>recours à la force illégale contre les manifestant-e-s</w:t>
        </w:r>
      </w:hyperlink>
      <w:r>
        <w:rPr>
          <w:rFonts w:eastAsia="Times New Roman" w:cs="Times New Roman" w:ascii="Times New Roman" w:hAnsi="Times New Roman"/>
          <w:sz w:val="24"/>
          <w:szCs w:val="24"/>
          <w:lang w:val="fr-FR"/>
        </w:rPr>
        <w:t xml:space="preserve"> et leur intimidation, </w:t>
      </w:r>
      <w:hyperlink r:id="rId8">
        <w:r>
          <w:rPr>
            <w:rStyle w:val="LienInternet"/>
            <w:rFonts w:eastAsia="Times New Roman" w:cs="Times New Roman" w:ascii="Times New Roman" w:hAnsi="Times New Roman"/>
            <w:sz w:val="24"/>
            <w:szCs w:val="24"/>
            <w:lang w:val="fr-FR"/>
          </w:rPr>
          <w:t>le harcèlement et les mauvais traitements</w:t>
        </w:r>
      </w:hyperlink>
      <w:r>
        <w:rPr>
          <w:rFonts w:eastAsia="Times New Roman" w:cs="Times New Roman" w:ascii="Times New Roman" w:hAnsi="Times New Roman"/>
          <w:sz w:val="24"/>
          <w:szCs w:val="24"/>
          <w:lang w:val="fr-FR"/>
        </w:rPr>
        <w:t xml:space="preserve"> des défenseur-e-s des droits, la poursuite de la </w:t>
      </w:r>
      <w:hyperlink r:id="rId9">
        <w:r>
          <w:rPr>
            <w:rStyle w:val="LienInternet"/>
            <w:rFonts w:eastAsia="Times New Roman" w:cs="Times New Roman" w:ascii="Times New Roman" w:hAnsi="Times New Roman"/>
            <w:sz w:val="24"/>
            <w:szCs w:val="24"/>
            <w:lang w:val="fr-FR"/>
          </w:rPr>
          <w:t>détention arbitraire</w:t>
        </w:r>
      </w:hyperlink>
      <w:r>
        <w:rPr>
          <w:rFonts w:eastAsia="Times New Roman" w:cs="Times New Roman" w:ascii="Times New Roman" w:hAnsi="Times New Roman"/>
          <w:sz w:val="24"/>
          <w:szCs w:val="24"/>
          <w:lang w:val="fr-FR"/>
        </w:rPr>
        <w:t xml:space="preserve"> et le </w:t>
      </w:r>
      <w:hyperlink r:id="rId10">
        <w:r>
          <w:rPr>
            <w:rStyle w:val="LienInternet"/>
            <w:rFonts w:eastAsia="Times New Roman" w:cs="Times New Roman" w:ascii="Times New Roman" w:hAnsi="Times New Roman"/>
            <w:sz w:val="24"/>
            <w:szCs w:val="24"/>
            <w:lang w:val="fr-FR"/>
          </w:rPr>
          <w:t>ciblage</w:t>
        </w:r>
      </w:hyperlink>
      <w:r>
        <w:rPr>
          <w:rFonts w:eastAsia="Times New Roman" w:cs="Times New Roman" w:ascii="Times New Roman" w:hAnsi="Times New Roman"/>
          <w:sz w:val="24"/>
          <w:szCs w:val="24"/>
          <w:lang w:val="fr-FR"/>
        </w:rPr>
        <w:t xml:space="preserve"> des journalistes, la </w:t>
      </w:r>
      <w:hyperlink r:id="rId11">
        <w:r>
          <w:rPr>
            <w:rStyle w:val="LienInternet"/>
            <w:rFonts w:eastAsia="Times New Roman" w:cs="Times New Roman" w:ascii="Times New Roman" w:hAnsi="Times New Roman"/>
            <w:sz w:val="24"/>
            <w:szCs w:val="24"/>
            <w:lang w:val="fr-FR"/>
          </w:rPr>
          <w:t>criminalisation du débat</w:t>
        </w:r>
      </w:hyperlink>
      <w:r>
        <w:rPr>
          <w:rFonts w:eastAsia="Times New Roman" w:cs="Times New Roman" w:ascii="Times New Roman" w:hAnsi="Times New Roman"/>
          <w:sz w:val="24"/>
          <w:szCs w:val="24"/>
          <w:lang w:val="fr-FR"/>
        </w:rPr>
        <w:t xml:space="preserve"> sur les questions religieuses, et </w:t>
      </w:r>
      <w:hyperlink r:id="rId12">
        <w:r>
          <w:rPr>
            <w:rStyle w:val="LienInternet"/>
            <w:rFonts w:eastAsia="Times New Roman" w:cs="Times New Roman" w:ascii="Times New Roman" w:hAnsi="Times New Roman"/>
            <w:sz w:val="24"/>
            <w:szCs w:val="24"/>
            <w:lang w:val="fr-FR"/>
          </w:rPr>
          <w:t>l’absence d’enquêtes sur les allégations de violences</w:t>
        </w:r>
      </w:hyperlink>
      <w:r>
        <w:rPr>
          <w:rFonts w:eastAsia="Times New Roman" w:cs="Times New Roman" w:ascii="Times New Roman" w:hAnsi="Times New Roman"/>
          <w:sz w:val="24"/>
          <w:szCs w:val="24"/>
          <w:lang w:val="fr-FR"/>
        </w:rPr>
        <w:t xml:space="preserve"> physiques et sexuelles en détention, notamment sur </w:t>
      </w:r>
      <w:hyperlink r:id="rId13">
        <w:r>
          <w:rPr>
            <w:rStyle w:val="LienInternet"/>
            <w:rFonts w:eastAsia="Times New Roman" w:cs="Times New Roman" w:ascii="Times New Roman" w:hAnsi="Times New Roman"/>
            <w:sz w:val="24"/>
            <w:szCs w:val="24"/>
            <w:lang w:val="fr-FR"/>
          </w:rPr>
          <w:t>un mineur</w:t>
        </w:r>
      </w:hyperlink>
      <w:r>
        <w:rPr>
          <w:rFonts w:eastAsia="Times New Roman" w:cs="Times New Roman" w:ascii="Times New Roman" w:hAnsi="Times New Roman"/>
          <w:sz w:val="24"/>
          <w:szCs w:val="24"/>
          <w:lang w:val="fr-FR"/>
        </w:rPr>
        <w:t xml:space="preserve"> séparé de ses parents.</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Les </w:t>
      </w:r>
      <w:hyperlink r:id="rId14">
        <w:r>
          <w:rPr>
            <w:rStyle w:val="LienInternet"/>
            <w:rFonts w:eastAsia="Times New Roman" w:cs="Times New Roman" w:ascii="Times New Roman" w:hAnsi="Times New Roman"/>
            <w:sz w:val="24"/>
            <w:szCs w:val="24"/>
            <w:lang w:val="fr-FR"/>
          </w:rPr>
          <w:t>accusations de terrorisme</w:t>
        </w:r>
      </w:hyperlink>
      <w:r>
        <w:rPr>
          <w:rFonts w:eastAsia="Times New Roman" w:cs="Times New Roman" w:ascii="Times New Roman" w:hAnsi="Times New Roman"/>
          <w:sz w:val="24"/>
          <w:szCs w:val="24"/>
          <w:lang w:val="fr-FR"/>
        </w:rPr>
        <w:t xml:space="preserve"> portées contre 15 défenseur-e-s des droits humains, journalistes et manifestants pacifiques le 29 avril constituent une </w:t>
      </w:r>
      <w:hyperlink r:id="rId15">
        <w:r>
          <w:rPr>
            <w:rStyle w:val="LienInternet"/>
            <w:rFonts w:eastAsia="Times New Roman" w:cs="Times New Roman" w:ascii="Times New Roman" w:hAnsi="Times New Roman"/>
            <w:sz w:val="24"/>
            <w:szCs w:val="24"/>
            <w:lang w:val="fr-FR"/>
          </w:rPr>
          <w:t>nouvelle et dangereuse escalade</w:t>
        </w:r>
      </w:hyperlink>
      <w:r>
        <w:rPr>
          <w:rFonts w:eastAsia="Times New Roman" w:cs="Times New Roman" w:ascii="Times New Roman" w:hAnsi="Times New Roman"/>
          <w:sz w:val="24"/>
          <w:szCs w:val="24"/>
          <w:lang w:val="fr-FR"/>
        </w:rPr>
        <w:t>. Si elles sont poursuivies par le tribunal, elles pourraient créer un précédent inquiétant pour cibler les Algérien-ne-s appelant à des réformes.</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L’année passée a vu une reconnaissance croissante de l'aggravation de la situation des droits humains en Algérie, y compris par le Haut-Commissariat aux Droits de l'Homme (HCDH) en </w:t>
      </w:r>
      <w:hyperlink r:id="rId16">
        <w:r>
          <w:rPr>
            <w:rStyle w:val="LienInternet"/>
            <w:rFonts w:eastAsia="Times New Roman" w:cs="Times New Roman" w:ascii="Times New Roman" w:hAnsi="Times New Roman"/>
            <w:sz w:val="24"/>
            <w:szCs w:val="24"/>
            <w:lang w:val="fr-FR"/>
          </w:rPr>
          <w:t>mars</w:t>
        </w:r>
      </w:hyperlink>
      <w:r>
        <w:rPr>
          <w:rFonts w:eastAsia="Times New Roman" w:cs="Times New Roman" w:ascii="Times New Roman" w:hAnsi="Times New Roman"/>
          <w:sz w:val="24"/>
          <w:szCs w:val="24"/>
          <w:lang w:val="fr-FR"/>
        </w:rPr>
        <w:t xml:space="preserve"> et en </w:t>
      </w:r>
      <w:hyperlink r:id="rId17">
        <w:r>
          <w:rPr>
            <w:rStyle w:val="LienInternet"/>
            <w:rFonts w:eastAsia="Times New Roman" w:cs="Times New Roman" w:ascii="Times New Roman" w:hAnsi="Times New Roman"/>
            <w:sz w:val="24"/>
            <w:szCs w:val="24"/>
            <w:lang w:val="fr-FR"/>
          </w:rPr>
          <w:t>mai</w:t>
        </w:r>
      </w:hyperlink>
      <w:r>
        <w:rPr>
          <w:rFonts w:eastAsia="Times New Roman" w:cs="Times New Roman" w:ascii="Times New Roman" w:hAnsi="Times New Roman"/>
          <w:sz w:val="24"/>
          <w:szCs w:val="24"/>
          <w:lang w:val="fr-FR"/>
        </w:rPr>
        <w:t xml:space="preserve"> 2021, le </w:t>
      </w:r>
      <w:hyperlink r:id="rId18">
        <w:r>
          <w:rPr>
            <w:rStyle w:val="LienInternet"/>
            <w:rFonts w:eastAsia="Times New Roman" w:cs="Times New Roman" w:ascii="Times New Roman" w:hAnsi="Times New Roman"/>
            <w:sz w:val="24"/>
            <w:szCs w:val="24"/>
            <w:lang w:val="fr-FR"/>
          </w:rPr>
          <w:t>Parlement européen</w:t>
        </w:r>
      </w:hyperlink>
      <w:r>
        <w:rPr>
          <w:rFonts w:eastAsia="Times New Roman" w:cs="Times New Roman" w:ascii="Times New Roman" w:hAnsi="Times New Roman"/>
          <w:sz w:val="24"/>
          <w:szCs w:val="24"/>
          <w:lang w:val="fr-FR"/>
        </w:rPr>
        <w:t xml:space="preserve"> et la </w:t>
      </w:r>
      <w:hyperlink r:id="rId19">
        <w:r>
          <w:rPr>
            <w:rStyle w:val="LienInternet"/>
            <w:rFonts w:eastAsia="Times New Roman" w:cs="Times New Roman" w:ascii="Times New Roman" w:hAnsi="Times New Roman"/>
            <w:sz w:val="24"/>
            <w:szCs w:val="24"/>
            <w:lang w:val="fr-FR"/>
          </w:rPr>
          <w:t>Chambre des communes du Canada</w:t>
        </w:r>
      </w:hyperlink>
      <w:r>
        <w:rPr>
          <w:rFonts w:eastAsia="Times New Roman" w:cs="Times New Roman" w:ascii="Times New Roman" w:hAnsi="Times New Roman"/>
          <w:sz w:val="24"/>
          <w:szCs w:val="24"/>
          <w:lang w:val="fr-FR"/>
        </w:rPr>
        <w:t>. Lors du 45</w:t>
      </w:r>
      <w:r>
        <w:rPr>
          <w:rFonts w:eastAsia="Times New Roman" w:cs="Times New Roman" w:ascii="Times New Roman" w:hAnsi="Times New Roman"/>
          <w:sz w:val="24"/>
          <w:szCs w:val="24"/>
          <w:vertAlign w:val="superscript"/>
          <w:lang w:val="fr-FR"/>
        </w:rPr>
        <w:t>ème</w:t>
      </w:r>
      <w:r>
        <w:rPr>
          <w:rFonts w:eastAsia="Times New Roman" w:cs="Times New Roman" w:ascii="Times New Roman" w:hAnsi="Times New Roman"/>
          <w:sz w:val="24"/>
          <w:szCs w:val="24"/>
          <w:lang w:val="fr-FR"/>
        </w:rPr>
        <w:t xml:space="preserve"> CDH, la Belgique a condamné le harcèlement judiciaire contre les journalistes et a appelé les autorités à garantir la liberté d'expression. Au cours du 46</w:t>
      </w:r>
      <w:r>
        <w:rPr>
          <w:rFonts w:eastAsia="Times New Roman" w:cs="Times New Roman" w:ascii="Times New Roman" w:hAnsi="Times New Roman"/>
          <w:sz w:val="24"/>
          <w:szCs w:val="24"/>
          <w:vertAlign w:val="superscript"/>
          <w:lang w:val="fr-FR"/>
        </w:rPr>
        <w:t>ème</w:t>
      </w:r>
      <w:r>
        <w:rPr>
          <w:rFonts w:eastAsia="Times New Roman" w:cs="Times New Roman" w:ascii="Times New Roman" w:hAnsi="Times New Roman"/>
          <w:sz w:val="24"/>
          <w:szCs w:val="24"/>
          <w:lang w:val="fr-FR"/>
        </w:rPr>
        <w:t xml:space="preserve"> HRC, l'Islande a exprimé sa préoccupation concernant les fermetures forcées d'églises protestantes et l'application arbitraire des restrictions liées au COVID-19.</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Le moment est venu pour les États membres des Nations-Unies d'adresser la criminalisation croissante des libertés d'association, de réunion pacifique et d'expression en Algérie. Nous pensons que cette répression qui s'intensifie répond aux critères qui justifient une action urgente au sein du CDH, tel qu'établis par </w:t>
      </w:r>
      <w:hyperlink r:id="rId20">
        <w:r>
          <w:rPr>
            <w:rStyle w:val="LienInternet"/>
            <w:rFonts w:eastAsia="Times New Roman" w:cs="Times New Roman" w:ascii="Times New Roman" w:hAnsi="Times New Roman"/>
            <w:sz w:val="24"/>
            <w:szCs w:val="24"/>
            <w:lang w:val="fr-FR"/>
          </w:rPr>
          <w:t>l'Irlande en 2016</w:t>
        </w:r>
      </w:hyperlink>
      <w:r>
        <w:rPr>
          <w:rFonts w:eastAsia="Times New Roman" w:cs="Times New Roman" w:ascii="Times New Roman" w:hAnsi="Times New Roman"/>
          <w:sz w:val="24"/>
          <w:szCs w:val="24"/>
          <w:lang w:val="fr-FR"/>
        </w:rPr>
        <w:t xml:space="preserve">. </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Nous vous appelons donc à adresser ces développements individuellement et conjointement avec d'autres États lors de la prochaine 47</w:t>
      </w:r>
      <w:r>
        <w:rPr>
          <w:rFonts w:eastAsia="Times New Roman" w:cs="Times New Roman" w:ascii="Times New Roman" w:hAnsi="Times New Roman"/>
          <w:sz w:val="24"/>
          <w:szCs w:val="24"/>
          <w:vertAlign w:val="superscript"/>
          <w:lang w:val="fr-FR"/>
        </w:rPr>
        <w:t>ème</w:t>
      </w:r>
      <w:r>
        <w:rPr>
          <w:rFonts w:eastAsia="Times New Roman" w:cs="Times New Roman" w:ascii="Times New Roman" w:hAnsi="Times New Roman"/>
          <w:sz w:val="24"/>
          <w:szCs w:val="24"/>
          <w:lang w:val="fr-FR"/>
        </w:rPr>
        <w:t xml:space="preserve"> session du CDH, afin de protéger les manifestant-e-s pacifiques, les défenseur-e-s des droits et les journalistes qui luttent pour la démocratie.</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Nous vous remercions d'avoir pris en compte notre demande et sommes dans l'attente de votre réponse.</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Cordialement,</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Organisations algériennes signataires</w:t>
      </w:r>
    </w:p>
    <w:p>
      <w:pPr>
        <w:pStyle w:val="Normal"/>
        <w:numPr>
          <w:ilvl w:val="0"/>
          <w:numId w:val="2"/>
        </w:numPr>
        <w:spacing w:before="240" w:after="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Action pour le Changement et la Démocratie (ACDA)</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Ligue Algérienne pour la Défense des Droits Humains (LADDH)</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Syndicat National Autonome des Personnels de l'Administration Publique (​SNAPAP)</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Assirem N'Yellis N'Djerdjer</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Collectif des Familles de Disparus en Algérie (CFDA)</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Comité Canadien pour les Droits de la Personnes en Algérie</w:t>
      </w:r>
    </w:p>
    <w:p>
      <w:pPr>
        <w:pStyle w:val="Normal"/>
        <w:numPr>
          <w:ilvl w:val="0"/>
          <w:numId w:val="2"/>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Coordination FreeAlgeria</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Confédération générale autonome des travailleurs en Algérie (CGATA)</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Feminicides-DZ</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Comité National pour la Libération des Détenus (CNLD)</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Riposte Internationale</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SHOAA for Human Rights</w:t>
      </w:r>
    </w:p>
    <w:p>
      <w:pPr>
        <w:pStyle w:val="Normal"/>
        <w:numPr>
          <w:ilvl w:val="0"/>
          <w:numId w:val="2"/>
        </w:numPr>
        <w:pBdr/>
        <w:spacing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Tharwa N’Fadhma N’Soumer </w:t>
      </w:r>
    </w:p>
    <w:p>
      <w:pPr>
        <w:pStyle w:val="Normal"/>
        <w:spacing w:before="240" w:after="240"/>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Organisations internationales signataires</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Abductees’ Mothers Association - Yemen </w:t>
      </w:r>
    </w:p>
    <w:p>
      <w:pPr>
        <w:pStyle w:val="ListParagraph"/>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Action des Chrétiens pour l'Abolition de la Torture (ACAT) - France</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Adil Soz  </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Africa Freedom of Information Centre (AFIC) </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AfricanDefenders (Pan African Human Rights Defenders Network)</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 Haq human rights foundation - Iraq </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Aman organisation against Racial Discrimination - Libya </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Americans for Democracy &amp; Human Rights in Bahrain (ADHRB)</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Amnesty International</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Article 19</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Arts et Culture des Deux Rives</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Citoyenneté, Développement, Cultures et Migration des Deux Rives</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de Défense des Droits de l'Homme au Maroc (ASDHOM)</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de Solidarité Civique - Tunisia</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Le Pont Genève</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Marocaine des Droits Humains (AMDH)</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Association Tunisienne des Femmes Démocrates (ATFD) </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Tunisienne pour la Défense des Libertés Individuelles (ADLI)</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Association Vigilance pour la Démocratie et l'État Civique</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Beity organisation - Tunisia</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Belaady Organization for Human Rights - Libya </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Bytes for All, Pakistan</w:t>
      </w:r>
    </w:p>
    <w:p>
      <w:pPr>
        <w:pStyle w:val="Normal"/>
        <w:numPr>
          <w:ilvl w:val="0"/>
          <w:numId w:val="2"/>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Cairo Institute for Human Rights Studies (CIHRS)</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Canadiens pour la Justice et la Paix au Moyen-Orient (CJPMO) </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Cartoonist Rights Network (CRNI)</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Center for Media Freedom &amp; Responsibility (CMFR)</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Centre Tunisien pour la Liberté de la Presse </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CIVICUS: World Alliance for Citizen Participation</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Coordination Maghrébine des Organisations des Droits Humains (CMODH)</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Dhameer for Rights and freedom - Yemen </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Egyptian Front for Human Rights (EFHR)</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Euromed Rights</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Front Line Defenders</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Global voices</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Globe International Center</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Growth foundation for development &amp; improvement - Iraq </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Gulf Centre for Human Rights (GCHR)</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Hadramout Foundation For Legal Support and Training- Yemen </w:t>
      </w:r>
    </w:p>
    <w:p>
      <w:pPr>
        <w:pStyle w:val="Normal"/>
        <w:numPr>
          <w:ilvl w:val="0"/>
          <w:numId w:val="2"/>
        </w:numPr>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Hassan Saadaoui Foundation for Democracy and Equality - Tunisia</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Human Rights Watch</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Index on Censorship</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Initiative for Freedom of Expression- Turkey</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International Federation for Human Rights (FIDH), within the framework of the Observatory for the Protection of Human Rights Defenders</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International Service For Human Rights (ISHR)</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IPYS Venezuela</w:t>
      </w:r>
    </w:p>
    <w:p>
      <w:pPr>
        <w:pStyle w:val="Normal"/>
        <w:numPr>
          <w:ilvl w:val="0"/>
          <w:numId w:val="2"/>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Justice without Chains – Libya</w:t>
      </w:r>
    </w:p>
    <w:p>
      <w:pPr>
        <w:pStyle w:val="Normal"/>
        <w:numPr>
          <w:ilvl w:val="0"/>
          <w:numId w:val="2"/>
        </w:numP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 xml:space="preserve">Ligue tunisienne des droits de l'Homme (LTDH) </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Media Foundation for West Africa (MFWA)</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Media Institute of Southern Africa, Zimbabwe  (MISA)</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MENA Rights Group</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National Center for Development Cooperation (CNCD 11.11.11)</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National Syndicate of Tunisian Journalists (SNJT)</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Nas Development and Human Rights Center - Yemen </w:t>
      </w:r>
    </w:p>
    <w:p>
      <w:pPr>
        <w:pStyle w:val="Normal"/>
        <w:numPr>
          <w:ilvl w:val="0"/>
          <w:numId w:val="2"/>
        </w:numPr>
        <w:pBdr/>
        <w:jc w:val="both"/>
        <w:rPr>
          <w:rFonts w:ascii="Times New Roman" w:hAnsi="Times New Roman" w:eastAsia="Times New Roman" w:cs="Times New Roman"/>
          <w:sz w:val="24"/>
          <w:szCs w:val="24"/>
          <w:lang w:val="fr-FR"/>
        </w:rPr>
      </w:pPr>
      <w:r>
        <w:rPr>
          <w:rFonts w:eastAsia="Times New Roman" w:cs="Times New Roman" w:ascii="Times New Roman" w:hAnsi="Times New Roman"/>
          <w:sz w:val="24"/>
          <w:szCs w:val="24"/>
          <w:lang w:val="fr-FR"/>
        </w:rPr>
        <w:t>Organisation Contre la Torture en Tunisie (OCTT)</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PEN International</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Project on Middle East Democracy (POMED)</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Reporters without Borders (RSF) </w:t>
      </w:r>
    </w:p>
    <w:p>
      <w:pPr>
        <w:pStyle w:val="Normal"/>
        <w:numPr>
          <w:ilvl w:val="0"/>
          <w:numId w:val="2"/>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Sam for freedom and rights - Yemen </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Social Peace Promoting and Legal Protection - Yemen </w:t>
      </w:r>
    </w:p>
    <w:p>
      <w:pPr>
        <w:pStyle w:val="ListParagraph"/>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South East Europe Media Organisation (SEEMO)</w:t>
      </w:r>
    </w:p>
    <w:p>
      <w:pPr>
        <w:pStyle w:val="Normal"/>
        <w:numPr>
          <w:ilvl w:val="0"/>
          <w:numId w:val="2"/>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Syrian Network for Human Rights (SNHR)</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Syrian Center for Media and Freedom of Expression (SCM)</w:t>
      </w:r>
    </w:p>
    <w:p>
      <w:pPr>
        <w:pStyle w:val="Normal"/>
        <w:numPr>
          <w:ilvl w:val="0"/>
          <w:numId w:val="2"/>
        </w:numP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The Pacific Islands News Association (PINA)</w:t>
      </w:r>
    </w:p>
    <w:p>
      <w:pPr>
        <w:pStyle w:val="Normal"/>
        <w:numPr>
          <w:ilvl w:val="0"/>
          <w:numId w:val="2"/>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Together We Raise (social association) – Yemen</w:t>
      </w:r>
    </w:p>
    <w:p>
      <w:pPr>
        <w:pStyle w:val="Normal"/>
        <w:numPr>
          <w:ilvl w:val="0"/>
          <w:numId w:val="2"/>
        </w:numPr>
        <w:pBdr/>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Tunisian Forum for Youth Empowerment </w:t>
      </w:r>
    </w:p>
    <w:p>
      <w:pPr>
        <w:pStyle w:val="Normal"/>
        <w:numPr>
          <w:ilvl w:val="0"/>
          <w:numId w:val="2"/>
        </w:numPr>
        <w:pBdr/>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Watch for Human Rights - Yemen </w:t>
      </w:r>
    </w:p>
    <w:p>
      <w:pPr>
        <w:pStyle w:val="Normal"/>
        <w:numPr>
          <w:ilvl w:val="0"/>
          <w:numId w:val="2"/>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World Association of Newspapers </w:t>
      </w:r>
      <w:bookmarkStart w:id="0" w:name="_GoBack"/>
      <w:bookmarkEnd w:id="0"/>
      <w:r>
        <w:rPr>
          <w:rFonts w:eastAsia="Times New Roman" w:cs="Times New Roman" w:ascii="Times New Roman" w:hAnsi="Times New Roman"/>
          <w:sz w:val="24"/>
          <w:szCs w:val="24"/>
        </w:rPr>
        <w:t>and News Publishers (WAN-IFRA)</w:t>
      </w:r>
    </w:p>
    <w:p>
      <w:pPr>
        <w:pStyle w:val="Normal"/>
        <w:numPr>
          <w:ilvl w:val="0"/>
          <w:numId w:val="2"/>
        </w:numPr>
        <w:pBdr/>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World Organisation Against Torture (OMCT), within the framework of the Observatory for the Protection of Human Rights Defenders </w:t>
      </w:r>
    </w:p>
    <w:p>
      <w:pPr>
        <w:pStyle w:val="Normal"/>
        <w:numPr>
          <w:ilvl w:val="0"/>
          <w:numId w:val="2"/>
        </w:numPr>
        <w:pBdr/>
        <w:spacing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Yemeni Observatory for Human Rights - Yemen</w:t>
      </w:r>
    </w:p>
    <w:p>
      <w:pPr>
        <w:pStyle w:val="Normal"/>
        <w:spacing w:before="240" w:after="240"/>
        <w:jc w:val="both"/>
        <w:rPr>
          <w:rFonts w:ascii="Times New Roman" w:hAnsi="Times New Roman" w:eastAsia="Times New Roman" w:cs="Times New Roman"/>
          <w:sz w:val="24"/>
          <w:szCs w:val="24"/>
        </w:rPr>
      </w:pPr>
      <w:r>
        <w:rPr/>
      </w:r>
    </w:p>
    <w:sectPr>
      <w:headerReference w:type="default" r:id="rId21"/>
      <w:footnotePr>
        <w:numFmt w:val="decimal"/>
      </w:footnotePr>
      <w:type w:val="nextPage"/>
      <w:pgSz w:w="12240" w:h="15840"/>
      <w:pgMar w:left="1080" w:right="1080" w:header="720" w:top="1276" w:footer="0" w:bottom="1440" w:gutter="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rPr>
          <w:lang w:val="fr-FR"/>
        </w:rPr>
      </w:pPr>
      <w:r>
        <w:rPr>
          <w:rStyle w:val="Caractresdenotedebasdepage"/>
        </w:rPr>
        <w:footnoteRef/>
      </w:r>
      <w:r>
        <w:rPr>
          <w:lang w:val="fr-FR"/>
        </w:rPr>
        <w:t xml:space="preserve"> </w:t>
      </w:r>
      <w:r>
        <w:rPr>
          <w:rFonts w:eastAsia="Times New Roman" w:cs="Times New Roman" w:ascii="Times New Roman" w:hAnsi="Times New Roman"/>
          <w:sz w:val="18"/>
          <w:szCs w:val="18"/>
          <w:lang w:val="fr-FR"/>
        </w:rPr>
        <w:t>Notamment les articles. 75; 79; 95bis; 95bis 1; 96; 98; 100; 144; 144bis; 144bis 2; 146; 196bis; 296 et 298.</w:t>
      </w:r>
    </w:p>
  </w:footnote>
  <w:footnote w:id="3">
    <w:p>
      <w:pPr>
        <w:pStyle w:val="Notedebasdepage"/>
        <w:rPr>
          <w:rFonts w:ascii="Times New Roman" w:hAnsi="Times New Roman" w:cs="Times New Roman" w:asciiTheme="majorBidi" w:cstheme="majorBidi" w:hAnsiTheme="majorBidi"/>
          <w:lang w:val="fr-FR"/>
        </w:rPr>
      </w:pPr>
      <w:r>
        <w:rPr>
          <w:rStyle w:val="Caractresdenotedebasdepage"/>
        </w:rPr>
        <w:footnoteRef/>
      </w:r>
      <w:r>
        <w:rPr>
          <w:rFonts w:cs="Times New Roman" w:ascii="Times New Roman" w:hAnsi="Times New Roman" w:asciiTheme="majorBidi" w:cstheme="majorBidi" w:hAnsiTheme="majorBidi"/>
          <w:lang w:val="fr-FR"/>
        </w:rPr>
        <w:t xml:space="preserve"> </w:t>
      </w:r>
      <w:r>
        <w:rPr>
          <w:rFonts w:cs="Times New Roman" w:ascii="Times New Roman" w:hAnsi="Times New Roman" w:asciiTheme="majorBidi" w:cstheme="majorBidi" w:hAnsiTheme="majorBidi"/>
          <w:sz w:val="18"/>
          <w:szCs w:val="18"/>
          <w:lang w:val="fr-FR"/>
        </w:rPr>
        <w:t>Après leur suspension volontaire en mars 2020 en raison de la pandémie.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40" w:after="0"/>
      <w:jc w:val="right"/>
      <w:rPr>
        <w:lang w:val="fr-FR"/>
      </w:rPr>
    </w:pPr>
    <w:r>
      <w:rPr>
        <w:lang w:val="fr-F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 w:eastAsia="en-US" w:bidi="ar-SA"/>
    </w:rPr>
  </w:style>
  <w:style w:type="paragraph" w:styleId="Titre1">
    <w:name w:val="Heading 1"/>
    <w:basedOn w:val="Normal"/>
    <w:next w:val="Normal"/>
    <w:qFormat/>
    <w:pPr>
      <w:keepNext w:val="true"/>
      <w:keepLines/>
      <w:spacing w:before="400" w:after="120"/>
      <w:outlineLvl w:val="0"/>
    </w:pPr>
    <w:rPr>
      <w:sz w:val="40"/>
      <w:szCs w:val="40"/>
    </w:rPr>
  </w:style>
  <w:style w:type="paragraph" w:styleId="Titre2">
    <w:name w:val="Heading 2"/>
    <w:basedOn w:val="Normal"/>
    <w:next w:val="Normal"/>
    <w:qFormat/>
    <w:pPr>
      <w:keepNext w:val="true"/>
      <w:keepLines/>
      <w:spacing w:before="360" w:after="120"/>
      <w:outlineLvl w:val="1"/>
    </w:pPr>
    <w:rPr>
      <w:sz w:val="32"/>
      <w:szCs w:val="32"/>
    </w:rPr>
  </w:style>
  <w:style w:type="paragraph" w:styleId="Titre3">
    <w:name w:val="Heading 3"/>
    <w:basedOn w:val="Normal"/>
    <w:next w:val="Normal"/>
    <w:qFormat/>
    <w:pPr>
      <w:keepNext w:val="true"/>
      <w:keepLines/>
      <w:spacing w:before="320" w:after="80"/>
      <w:outlineLvl w:val="2"/>
    </w:pPr>
    <w:rPr>
      <w:color w:val="434343"/>
      <w:sz w:val="28"/>
      <w:szCs w:val="28"/>
    </w:rPr>
  </w:style>
  <w:style w:type="paragraph" w:styleId="Titre4">
    <w:name w:val="Heading 4"/>
    <w:basedOn w:val="Normal"/>
    <w:next w:val="Normal"/>
    <w:qFormat/>
    <w:pPr>
      <w:keepNext w:val="true"/>
      <w:keepLines/>
      <w:spacing w:before="280" w:after="80"/>
      <w:outlineLvl w:val="3"/>
    </w:pPr>
    <w:rPr>
      <w:color w:val="666666"/>
      <w:sz w:val="24"/>
      <w:szCs w:val="24"/>
    </w:rPr>
  </w:style>
  <w:style w:type="paragraph" w:styleId="Titre5">
    <w:name w:val="Heading 5"/>
    <w:basedOn w:val="Normal"/>
    <w:next w:val="Normal"/>
    <w:qFormat/>
    <w:pPr>
      <w:keepNext w:val="true"/>
      <w:keepLines/>
      <w:spacing w:before="240" w:after="80"/>
      <w:outlineLvl w:val="4"/>
    </w:pPr>
    <w:rPr>
      <w:color w:val="666666"/>
    </w:rPr>
  </w:style>
  <w:style w:type="paragraph" w:styleId="Titre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7e21fa"/>
    <w:rPr>
      <w:sz w:val="16"/>
      <w:szCs w:val="16"/>
    </w:rPr>
  </w:style>
  <w:style w:type="character" w:styleId="CommentTextChar" w:customStyle="1">
    <w:name w:val="Comment Text Char"/>
    <w:basedOn w:val="DefaultParagraphFont"/>
    <w:link w:val="CommentText"/>
    <w:uiPriority w:val="99"/>
    <w:semiHidden/>
    <w:qFormat/>
    <w:rsid w:val="007e21fa"/>
    <w:rPr>
      <w:sz w:val="20"/>
      <w:szCs w:val="20"/>
    </w:rPr>
  </w:style>
  <w:style w:type="character" w:styleId="CommentSubjectChar" w:customStyle="1">
    <w:name w:val="Comment Subject Char"/>
    <w:basedOn w:val="CommentTextChar"/>
    <w:link w:val="CommentSubject"/>
    <w:uiPriority w:val="99"/>
    <w:semiHidden/>
    <w:qFormat/>
    <w:rsid w:val="007e21fa"/>
    <w:rPr>
      <w:b/>
      <w:bCs/>
      <w:sz w:val="20"/>
      <w:szCs w:val="20"/>
    </w:rPr>
  </w:style>
  <w:style w:type="character" w:styleId="BalloonTextChar" w:customStyle="1">
    <w:name w:val="Balloon Text Char"/>
    <w:basedOn w:val="DefaultParagraphFont"/>
    <w:link w:val="BalloonText"/>
    <w:uiPriority w:val="99"/>
    <w:semiHidden/>
    <w:qFormat/>
    <w:rsid w:val="007e21fa"/>
    <w:rPr>
      <w:rFonts w:ascii="Segoe UI" w:hAnsi="Segoe UI" w:cs="Segoe UI"/>
      <w:sz w:val="18"/>
      <w:szCs w:val="18"/>
    </w:rPr>
  </w:style>
  <w:style w:type="character" w:styleId="LienInternet">
    <w:name w:val="Lien Internet"/>
    <w:basedOn w:val="DefaultParagraphFont"/>
    <w:uiPriority w:val="99"/>
    <w:unhideWhenUsed/>
    <w:rsid w:val="00eb36e5"/>
    <w:rPr>
      <w:color w:val="0000FF" w:themeColor="hyperlink"/>
      <w:u w:val="single"/>
    </w:rPr>
  </w:style>
  <w:style w:type="character" w:styleId="HeaderChar" w:customStyle="1">
    <w:name w:val="Header Char"/>
    <w:basedOn w:val="DefaultParagraphFont"/>
    <w:link w:val="Header"/>
    <w:uiPriority w:val="99"/>
    <w:qFormat/>
    <w:rsid w:val="00de47c0"/>
    <w:rPr/>
  </w:style>
  <w:style w:type="character" w:styleId="FooterChar" w:customStyle="1">
    <w:name w:val="Footer Char"/>
    <w:basedOn w:val="DefaultParagraphFont"/>
    <w:link w:val="Footer"/>
    <w:uiPriority w:val="99"/>
    <w:qFormat/>
    <w:rsid w:val="00de47c0"/>
    <w:rPr/>
  </w:style>
  <w:style w:type="character" w:styleId="FootnoteTextChar" w:customStyle="1">
    <w:name w:val="Footnote Text Char"/>
    <w:basedOn w:val="DefaultParagraphFont"/>
    <w:link w:val="FootnoteText"/>
    <w:uiPriority w:val="99"/>
    <w:semiHidden/>
    <w:qFormat/>
    <w:rsid w:val="00e43e40"/>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e43e40"/>
    <w:rPr>
      <w:vertAlign w:val="superscrip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next w:val="Normal"/>
    <w:qFormat/>
    <w:pPr>
      <w:keepNext w:val="true"/>
      <w:keepLines/>
      <w:spacing w:before="0" w:after="60"/>
    </w:pPr>
    <w:rPr>
      <w:sz w:val="52"/>
      <w:szCs w:val="52"/>
    </w:rPr>
  </w:style>
  <w:style w:type="paragraph" w:styleId="Soustitre">
    <w:name w:val="Subtitle"/>
    <w:basedOn w:val="Normal"/>
    <w:next w:val="Normal"/>
    <w:qFormat/>
    <w:pPr>
      <w:keepNext w:val="true"/>
      <w:keepLines/>
      <w:spacing w:before="0" w:after="320"/>
    </w:pPr>
    <w:rPr>
      <w:color w:val="666666"/>
      <w:sz w:val="30"/>
      <w:szCs w:val="30"/>
    </w:rPr>
  </w:style>
  <w:style w:type="paragraph" w:styleId="Annotationtext">
    <w:name w:val="annotation text"/>
    <w:basedOn w:val="Normal"/>
    <w:link w:val="CommentTextChar"/>
    <w:uiPriority w:val="99"/>
    <w:semiHidden/>
    <w:unhideWhenUsed/>
    <w:qFormat/>
    <w:rsid w:val="007e21fa"/>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7e21fa"/>
    <w:pPr/>
    <w:rPr>
      <w:b/>
      <w:bCs/>
    </w:rPr>
  </w:style>
  <w:style w:type="paragraph" w:styleId="BalloonText">
    <w:name w:val="Balloon Text"/>
    <w:basedOn w:val="Normal"/>
    <w:link w:val="BalloonTextChar"/>
    <w:uiPriority w:val="99"/>
    <w:semiHidden/>
    <w:unhideWhenUsed/>
    <w:qFormat/>
    <w:rsid w:val="007e21fa"/>
    <w:pPr>
      <w:spacing w:lineRule="auto" w:line="240"/>
    </w:pPr>
    <w:rPr>
      <w:rFonts w:ascii="Segoe UI" w:hAnsi="Segoe UI" w:cs="Segoe UI"/>
      <w:sz w:val="18"/>
      <w:szCs w:val="18"/>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de47c0"/>
    <w:pPr>
      <w:tabs>
        <w:tab w:val="clear" w:pos="720"/>
        <w:tab w:val="center" w:pos="4680" w:leader="none"/>
        <w:tab w:val="right" w:pos="9360" w:leader="none"/>
      </w:tabs>
      <w:spacing w:lineRule="auto" w:line="240"/>
    </w:pPr>
    <w:rPr/>
  </w:style>
  <w:style w:type="paragraph" w:styleId="Pieddepage">
    <w:name w:val="Footer"/>
    <w:basedOn w:val="Normal"/>
    <w:link w:val="FooterChar"/>
    <w:uiPriority w:val="99"/>
    <w:unhideWhenUsed/>
    <w:rsid w:val="00de47c0"/>
    <w:pPr>
      <w:tabs>
        <w:tab w:val="clear" w:pos="720"/>
        <w:tab w:val="center" w:pos="4680" w:leader="none"/>
        <w:tab w:val="right" w:pos="9360" w:leader="none"/>
      </w:tabs>
      <w:spacing w:lineRule="auto" w:line="240"/>
    </w:pPr>
    <w:rPr/>
  </w:style>
  <w:style w:type="paragraph" w:styleId="Notedebasdepage">
    <w:name w:val="Footnote Text"/>
    <w:basedOn w:val="Normal"/>
    <w:link w:val="FootnoteTextChar"/>
    <w:uiPriority w:val="99"/>
    <w:semiHidden/>
    <w:unhideWhenUsed/>
    <w:rsid w:val="00e43e40"/>
    <w:pPr>
      <w:spacing w:lineRule="auto" w:line="240"/>
    </w:pPr>
    <w:rPr>
      <w:sz w:val="20"/>
      <w:szCs w:val="20"/>
    </w:rPr>
  </w:style>
  <w:style w:type="paragraph" w:styleId="ListParagraph">
    <w:name w:val="List Paragraph"/>
    <w:basedOn w:val="Normal"/>
    <w:uiPriority w:val="34"/>
    <w:qFormat/>
    <w:rsid w:val="007033a1"/>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ihrs.org/algeria-more-assertive-public-position-from-international-community-crucial-to-protecting-algerians-on-hirak-two-year-anniversary/?lang=en" TargetMode="External"/><Relationship Id="rId3" Type="http://schemas.openxmlformats.org/officeDocument/2006/relationships/hyperlink" Target="https://www.reuters.com/article/algeria-protests-anniversary-kherrata-in-idUSKBN2AG1UK" TargetMode="External"/><Relationship Id="rId4" Type="http://schemas.openxmlformats.org/officeDocument/2006/relationships/hyperlink" Target="https://www.facebook.com/comitenationalpourlaliberationdesdetenusCNLD/posts/164035688299904" TargetMode="External"/><Relationship Id="rId5" Type="http://schemas.openxmlformats.org/officeDocument/2006/relationships/hyperlink" Target="https://www.facebook.com/2298875860335412/videos/292460275940715" TargetMode="External"/><Relationship Id="rId6" Type="http://schemas.openxmlformats.org/officeDocument/2006/relationships/hyperlink" Target="https://www.aps.dz/algerie/117834-tebboune-grace-presidentielle-en-faveur-de-detenus-du-hirak" TargetMode="External"/><Relationship Id="rId7" Type="http://schemas.openxmlformats.org/officeDocument/2006/relationships/hyperlink" Target="https://www.amnesty.org/en/latest/news/2021/05/algeria-stop-using-unlawful-force-against-protesters/" TargetMode="External"/><Relationship Id="rId8" Type="http://schemas.openxmlformats.org/officeDocument/2006/relationships/hyperlink" Target="https://www.frontlinedefenders.org/en/statement-report/harassment-algerian-human-rights-defenders-must-end" TargetMode="External"/><Relationship Id="rId9" Type="http://schemas.openxmlformats.org/officeDocument/2006/relationships/hyperlink" Target="https://cpj.org/2021/04/algerian-journalist-rabah-kareche-detained-on-false-news-and-anti-state-allegations/" TargetMode="External"/><Relationship Id="rId10" Type="http://schemas.openxmlformats.org/officeDocument/2006/relationships/hyperlink" Target="https://twitter.com/RSF_NordAfrique/status/1388195880583450625" TargetMode="External"/><Relationship Id="rId11" Type="http://schemas.openxmlformats.org/officeDocument/2006/relationships/hyperlink" Target="https://www.amnesty.org/en/latest/news/2021/04/algeria-islamic-scholar-sentenced-to-three-year-prison-term-for-offending-islam/" TargetMode="External"/><Relationship Id="rId12" Type="http://schemas.openxmlformats.org/officeDocument/2006/relationships/hyperlink" Target="https://www.facebook.com/LADDH/posts/10157776935756759" TargetMode="External"/><Relationship Id="rId13" Type="http://schemas.openxmlformats.org/officeDocument/2006/relationships/hyperlink" Target="https://www.algiersherald.com/authorities-blame-the-victim-in-case-of-teenager-sexually-abused-in-custody-at-algiers-police-station/" TargetMode="External"/><Relationship Id="rId14" Type="http://schemas.openxmlformats.org/officeDocument/2006/relationships/hyperlink" Target="https://www.frontlinedefenders.org/en/statement-report/joint-statement-algeria-terrorism-charges-brought-against-human-rights-defenders" TargetMode="External"/><Relationship Id="rId15" Type="http://schemas.openxmlformats.org/officeDocument/2006/relationships/hyperlink" Target="https://www.amnestyalgerie.org/2021/05/17/algerie-il-faut-abandonner-les-fausses-accusations-contre-trois-defenseurs-des-droits-humains/" TargetMode="External"/><Relationship Id="rId16" Type="http://schemas.openxmlformats.org/officeDocument/2006/relationships/hyperlink" Target="https://www.ohchr.org/EN/NewsEvents/Pages/DisplayNews.aspx?NewsID=26851&amp;LangID=E" TargetMode="External"/><Relationship Id="rId17" Type="http://schemas.openxmlformats.org/officeDocument/2006/relationships/hyperlink" Target="https://www.ohchr.org/EN/NewsEvents/Pages/DisplayNews.aspx?NewsID=27078&amp;LangID=E" TargetMode="External"/><Relationship Id="rId18" Type="http://schemas.openxmlformats.org/officeDocument/2006/relationships/hyperlink" Target="https://www.europarl.europa.eu/doceo/document/TA-9-2020-0329_EN.html" TargetMode="External"/><Relationship Id="rId19" Type="http://schemas.openxmlformats.org/officeDocument/2006/relationships/hyperlink" Target="https://www.ourcommons.ca/DocumentViewer/en/43-2/house/sitting-21/hansard" TargetMode="External"/><Relationship Id="rId20" Type="http://schemas.openxmlformats.org/officeDocument/2006/relationships/hyperlink" Target="https://www.dfa.ie/our-role-policies/international-priorities/human-rights/ireland-and-the-human-rights-council/irelands-statements-hrc-32nd-session/preventingrespondingtoandaddressinghumanrightsviolations-jointconcludingstatement/" TargetMode="External"/><Relationship Id="rId21" Type="http://schemas.openxmlformats.org/officeDocument/2006/relationships/header" Target="header1.xml"/><Relationship Id="rId22" Type="http://schemas.openxmlformats.org/officeDocument/2006/relationships/footnotes" Target="footnotes.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C1098-A2BF-42D7-919F-0A476DDA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Application>LibreOffice/7.1.3.2$Linux_X86_64 LibreOffice_project/10$Build-2</Application>
  <AppVersion>15.0000</AppVersion>
  <Pages>5</Pages>
  <Words>1445</Words>
  <Characters>8363</Characters>
  <CharactersWithSpaces>9655</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2021-05-17T19:20:00Z</dcterms:created>
  <dc:creator>Nadege</dc:creator>
  <dc:description/>
  <dc:language>fr-FR</dc:language>
  <cp:lastModifiedBy>Nadege CIHRS</cp:lastModifiedBy>
  <cp:lastPrinted>2021-05-29T14:34:00Z</cp:lastPrinted>
  <dcterms:modified xsi:type="dcterms:W3CDTF">2021-06-16T20:15:00Z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